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Daniel 9 Critical Audit</w:t>
      </w:r>
    </w:p>
    <w:p>
      <w:pPr>
        <w:keepNext w:val="0"/>
      </w:pPr>
      <w:r>
        <w:t>Daniel 9:24–27: the anointed one, the seventy weeks and the connection to Jesus Christ</w:t>
      </w:r>
    </w:p>
    <w:p>
      <w:pPr>
        <w:keepNext w:val="0"/>
      </w:pPr>
      <w:r>
        <w:t>Founder review edition • September 2026</w:t>
      </w:r>
    </w:p>
    <w:p>
      <w:pPr>
        <w:keepNext w:val="0"/>
      </w:pPr>
      <w:r>
        <w:t>Prepared for the Foreshadowing Jesus research package. Scripture remains the final authority. Historical identification, canonical interpretation and exact chronological proof are evaluated separately.</w:t>
      </w:r>
    </w:p>
    <w:p>
      <w:pPr>
        <w:pStyle w:val="Heading1"/>
      </w:pPr>
      <w:r>
        <w:t>Executive conclusion</w:t>
      </w:r>
    </w:p>
    <w:p>
      <w:pPr>
        <w:keepNext w:val="0"/>
      </w:pPr>
      <w:r>
        <w:t>Daniel 9 answers a prayer about sin, exile, Jerusalem and God’s covenant faithfulness. Its seventy sevens extend the horizon beyond an immediate return from Babylon. Restoration will be followed by further suffering, interrupted worship and the destruction of an oppressor. The passage promises that these troubles remain under God’s limit; it is not introduced as a calendar puzzle.</w:t>
      </w:r>
    </w:p>
    <w:p>
      <w:pPr>
        <w:keepNext w:val="0"/>
      </w:pPr>
      <w:r>
        <w:t>On balance, the two-anointed-figures reading, with an early restoration leader followed by the murdered high priest Onias III and the Antiochene crisis, best explains the immediate literary and cultic details. This is a comparative historical judgment, not a certain identification. Its large chronological shortfall, the force of the destruction language and the fullness of verse 24 remain substantial difficulties. No principal model explains every datum without disputed assumptions.</w:t>
      </w:r>
    </w:p>
    <w:p>
      <w:pPr>
        <w:keepNext w:val="0"/>
      </w:pPr>
      <w:r>
        <w:t>A Christian reading that sees the passage’s hope of atonement and restoration brought to fulfillment in Christ is meaningful. The more specific claim that Daniel 9:26 directly identifies Jesus’ death is not established by an explicit New Testament interpretation. Jesus uses Daniel’s desolation language, but neither a Gospel nor an epistle identifies the anointed figure of verses 25–26 as Jesus or calculates his arrival from these weeks.</w:t>
      </w:r>
      <w:r>
        <w:rPr>
          <w:vertAlign w:val="superscript"/>
        </w:rPr>
        <w:footnoteReference w:id="1"/>
      </w:r>
    </w:p>
    <w:p>
      <w:pPr>
        <w:keepNext w:val="0"/>
      </w:pPr>
      <w:r>
        <w:t>Final TLW classification: Canonical Pattern — Plausible Echo. The rated claim is that Daniel 9’s configuration of anointed loss, sin dealt with and restoration may contribute to the scriptural pattern brought into focus in Christ. This rating does not describe the separate, explicit Gospel use of Danielic desolation. Direct prediction of Jesus is a serious competing interpretation, but it is not the controlling claim retained for C42.</w:t>
      </w:r>
    </w:p>
    <w:p>
      <w:pPr>
        <w:keepNext w:val="0"/>
      </w:pPr>
      <w:r>
        <w:t>Publication recommendation: C — Research Layer Only. Retain the full audit for interested readers and Founder review. Do not promote this passage to a central encounter or an exact-date proof. Exact-day verdict: Unsustainable as a demonstrated apologetic claim. That verdict concerns what the evidence proves, not whether God could give precise prophecy.</w:t>
      </w:r>
    </w:p>
    <w:p>
      <w:pPr>
        <w:keepNext w:val="0"/>
      </w:pPr>
      <w:r>
        <w:t>This focused audit supersedes the pending Daniel 9 assessment in C42, the Daniel 9 editorial recommendation and excluded claim R13. Other encounters and Blueprint governance remain unchanged. No website copy, panel, illustration or website implementation is authorized by this report.</w:t>
      </w:r>
    </w:p>
    <w:p>
      <w:pPr>
        <w:pStyle w:val="Heading1"/>
      </w:pPr>
      <w:r>
        <w:t>1. Context before calculation</w:t>
      </w:r>
    </w:p>
    <w:p>
      <w:pPr>
        <w:pStyle w:val="Heading2"/>
      </w:pPr>
      <w:r>
        <w:t>The problem Daniel brings to God</w:t>
      </w:r>
    </w:p>
    <w:p>
      <w:pPr>
        <w:keepNext w:val="0"/>
      </w:pPr>
      <w:r>
        <w:t>Daniel 9:1 locates the prayer in the first year of Darius the Mede, after Babylon’s fall in the narrative sequence. That means the horizon is approximately 539/538 BC. The historical identity of this Darius remains disputed; he must not silently be equated with the later Persian Darius I. The narrative setting and the debated date of the book’s composition are separate questions. One can assess the Antiochene correspondences without first assuming that supernatural prediction is impossible.</w:t>
      </w:r>
    </w:p>
    <w:p>
      <w:pPr>
        <w:keepNext w:val="0"/>
      </w:pPr>
      <w:r>
        <w:t>Daniel reads Jeremiah’s seventy years (9:2). Jeremiah 25:11–12 concerns subjection to Babylon and Babylon’s judgment; Jeremiah 29:10 concerns God’s return and restoration after Babylon’s allotted period. These are related but do not supply one unambiguous day on which a future 483-year counter starts. Jeremiah’s restoration promises in chapters 30–33 widen the background. Daniel responds with confession, fasting and petition, not a request for the date of the Messiah.</w:t>
      </w:r>
    </w:p>
    <w:p>
      <w:pPr>
        <w:keepNext w:val="0"/>
      </w:pPr>
      <w:r>
        <w:t>The prayer repeatedly concerns our sin, Israel’s failure to hear the prophets, the covenant curses of Moses, Jerusalem’s shame and God’s name (9:4–19). Daniel identifies himself with the guilty people. He appeals to God’s mercy rather than their righteousness (9:18), asking that God hear, forgive and act for his city and people. The theological issue is not merely how soon buildings can be repaired. The people need a lasting answer to the sin that brought exile.</w:t>
      </w:r>
      <w:r>
        <w:rPr>
          <w:vertAlign w:val="superscript"/>
        </w:rPr>
        <w:footnoteReference w:id="2"/>
      </w:r>
    </w:p>
    <w:p>
      <w:pPr>
        <w:pStyle w:val="Heading2"/>
      </w:pPr>
      <w:r>
        <w:t>Gabriel’s answer as one unit</w:t>
      </w:r>
    </w:p>
    <w:p>
      <w:pPr>
        <w:keepNext w:val="0"/>
      </w:pPr>
      <w:r>
        <w:t>Gabriel comes while Daniel is praying, around the evening offering, although the Jerusalem sanctuary lies desolate in the narrative setting (9:20–23). A word has gone out and Gabriel gives understanding. Verse 24 states the whole horizon; verses 25–27 unfold restoration and renewed crisis within it. The opening word, the restored city, anointed leadership, the removal of an anointed one, attack on city and sanctuary, disrupted sacrifice and the desolator’s end belong to one argument.</w:t>
      </w:r>
    </w:p>
    <w:p>
      <w:pPr>
        <w:keepNext w:val="0"/>
      </w:pPr>
      <w:r>
        <w:t>The six objectives in verse 24 concern transgression, sin, atonement, enduring righteousness, vision and prophet, and a most holy place or thing. The verbs include textual and semantic uncertainties, but the movement is unmistakably toward a decisive resolution of covenant disorder. A repaired temple can embody that hope without exhausting it. Equally, reading the objectives through Christ does not by itself identify each unnamed person in the following verses.</w:t>
      </w:r>
    </w:p>
    <w:p>
      <w:pPr>
        <w:keepNext w:val="0"/>
      </w:pPr>
      <w:r>
        <w:t>Seventy sevens naturally evokes a greatly extended, sabbatical ordering of Jeremiah’s seventy years. Leviticus 25:8 explicitly numbers seven sabbaths of years; Leviticus 26 links covenant disobedience with repeated sevenfold judgment and the land’s sabbaths. Second Chronicles 36:20–23 connects exile, sabbath rest, Jeremiah and Cyrus. These links support a 490-year-shaped horizon, while leaving open how schematic the historical allocation is. Genesis 29:27’s wedding week should not be misquoted as a simple lexical equation in which every “week” means seven years.</w:t>
      </w:r>
    </w:p>
    <w:p>
      <w:pPr>
        <w:pStyle w:val="Heading2"/>
      </w:pPr>
      <w:r>
        <w:t>The rest of Daniel</w:t>
      </w:r>
    </w:p>
    <w:p>
      <w:pPr>
        <w:keepNext w:val="0"/>
      </w:pPr>
      <w:r>
        <w:t>Gabriel has already appeared in Daniel 8, and 9:21 recalls that vision. Daniel 8 concerns hostile power, the sanctuary and interrupted worship; 11:22 mentions a covenant prince, and 11:31 and 12:11 closely parallel the removal of the regular offering and the desolating abomination. Those are stronger immediate controls than a calculation detached from the book. Daniel 7 supplies suffering saints, limited oppression and the kingdom; Daniel 12 includes resurrection and a final horizon beyond a temporary political recovery.</w:t>
      </w:r>
    </w:p>
    <w:p>
      <w:pPr>
        <w:keepNext w:val="0"/>
      </w:pPr>
      <w:r>
        <w:t>The conventional critical reading relates much of Daniel 8 and 11 to Antiochus IV. Conservative interpreters differ over how far that horizon extends, whether it foreshadows a later antagonist and how the final chapters reach consummation. The audit does not settle the entire authorship debate or assume that Antiochus exhausts the canon. It asks which referents best account for this passage and then tests its subsequent use separately.</w:t>
      </w:r>
    </w:p>
    <w:p>
      <w:pPr>
        <w:pStyle w:val="Heading1"/>
      </w:pPr>
      <w:r>
        <w:t>2. Hebrew analysis</w:t>
      </w:r>
    </w:p>
    <w:p>
      <w:pPr>
        <w:keepNext w:val="0"/>
      </w:pPr>
      <w:r>
        <w:t>The following entries give the actual Hebrew, a readable transliteration, semantic range, syntax and interpretive consequence. Transliteration is explanatory, not a claim to reproduce pronunciation exactly. Read each entry against the whole passage.</w:t>
      </w:r>
      <w:r>
        <w:rPr>
          <w:vertAlign w:val="superscript"/>
        </w:rPr>
        <w:footnoteReference w:id="3"/>
      </w:r>
    </w:p>
    <w:p>
      <w:pPr>
        <w:pStyle w:val="Heading2"/>
      </w:pPr>
      <w:r>
        <w:rPr>
          <w:rFonts w:cs="DejaVu Sans"/>
        </w:rPr>
        <w:t>שָׁבֻעִים  (shavuʿim)</w:t>
      </w:r>
    </w:p>
    <w:p>
      <w:pPr>
        <w:keepNext/>
      </w:pPr>
      <w:r>
        <w:rPr>
          <w:b/>
        </w:rPr>
        <w:t xml:space="preserve">Range. </w:t>
      </w:r>
      <w:r>
        <w:t>Weeks or units of seven.</w:t>
      </w:r>
    </w:p>
    <w:p>
      <w:pPr>
        <w:keepNext/>
      </w:pPr>
      <w:r>
        <w:rPr>
          <w:b/>
        </w:rPr>
        <w:t xml:space="preserve">Syntax and context. </w:t>
      </w:r>
      <w:r>
        <w:t>The masculine plural is paired with seventy in 9:24; 7 + 62 + 1 account for seventy units. Jeremiah’s years and Leviticus 25 support year-weeks.</w:t>
      </w:r>
    </w:p>
    <w:p>
      <w:pPr>
        <w:keepNext w:val="0"/>
      </w:pPr>
      <w:r>
        <w:rPr>
          <w:b/>
        </w:rPr>
        <w:t xml:space="preserve">Significance. </w:t>
      </w:r>
      <w:r>
        <w:t>483 is valid multiplication if 69 successive year-weeks are intended; the noun does not specify 360-day years.</w:t>
      </w:r>
    </w:p>
    <w:p>
      <w:pPr>
        <w:pStyle w:val="Heading2"/>
      </w:pPr>
      <w:r>
        <w:rPr>
          <w:rFonts w:cs="DejaVu Sans"/>
        </w:rPr>
        <w:t>נֶחְתַּךְ  (neḥtakh)</w:t>
      </w:r>
    </w:p>
    <w:p>
      <w:pPr>
        <w:keepNext/>
      </w:pPr>
      <w:r>
        <w:rPr>
          <w:b/>
        </w:rPr>
        <w:t xml:space="preserve">Range. </w:t>
      </w:r>
      <w:r>
        <w:t>Was decreed, determined or apportioned; root associated with cutting.</w:t>
      </w:r>
    </w:p>
    <w:p>
      <w:pPr>
        <w:keepNext/>
      </w:pPr>
      <w:r>
        <w:rPr>
          <w:b/>
        </w:rPr>
        <w:t xml:space="preserve">Syntax and context. </w:t>
      </w:r>
      <w:r>
        <w:t>Niphal perfect, singular, with the allotted period; rare biblical usage.</w:t>
      </w:r>
    </w:p>
    <w:p>
      <w:pPr>
        <w:keepNext w:val="0"/>
      </w:pPr>
      <w:r>
        <w:rPr>
          <w:b/>
        </w:rPr>
        <w:t xml:space="preserve">Significance. </w:t>
      </w:r>
      <w:r>
        <w:t>It does not say this period was cut out of Daniel 8’s 2,300 evenings-mornings. That connection requires an additional argument.</w:t>
      </w:r>
    </w:p>
    <w:p>
      <w:pPr>
        <w:pStyle w:val="Heading2"/>
      </w:pPr>
      <w:r>
        <w:rPr>
          <w:rFonts w:cs="DejaVu Sans"/>
        </w:rPr>
        <w:t>לְכַלֵּא הַפֶּשַׁע  (lekhallēʾ happeshaʿ)</w:t>
      </w:r>
    </w:p>
    <w:p>
      <w:pPr>
        <w:keepNext/>
      </w:pPr>
      <w:r>
        <w:rPr>
          <w:b/>
        </w:rPr>
        <w:t xml:space="preserve">Range. </w:t>
      </w:r>
      <w:r>
        <w:t>To restrain or finish the transgression.</w:t>
      </w:r>
    </w:p>
    <w:p>
      <w:pPr>
        <w:keepNext/>
      </w:pPr>
      <w:r>
        <w:rPr>
          <w:b/>
        </w:rPr>
        <w:t xml:space="preserve">Syntax and context. </w:t>
      </w:r>
      <w:r>
        <w:t>First purpose infinitive; the following sin clause also has written/read variants involving seal/finish and sin/sins.</w:t>
      </w:r>
    </w:p>
    <w:p>
      <w:pPr>
        <w:keepNext w:val="0"/>
      </w:pPr>
      <w:r>
        <w:rPr>
          <w:b/>
        </w:rPr>
        <w:t xml:space="preserve">Significance. </w:t>
      </w:r>
      <w:r>
        <w:t>Do not make one disputed gloss prove that all sin must already have disappeared at a chosen historical endpoint.</w:t>
      </w:r>
    </w:p>
    <w:p>
      <w:pPr>
        <w:pStyle w:val="Heading2"/>
      </w:pPr>
      <w:r>
        <w:rPr>
          <w:rFonts w:cs="DejaVu Sans"/>
        </w:rPr>
        <w:t>לְכַפֵּר עָוֹן  (lekhappēr ʿavon)</w:t>
      </w:r>
    </w:p>
    <w:p>
      <w:pPr>
        <w:keepNext/>
      </w:pPr>
      <w:r>
        <w:rPr>
          <w:b/>
        </w:rPr>
        <w:t xml:space="preserve">Range. </w:t>
      </w:r>
      <w:r>
        <w:t>To make atonement for iniquity, remove its liability.</w:t>
      </w:r>
    </w:p>
    <w:p>
      <w:pPr>
        <w:keepNext/>
      </w:pPr>
      <w:r>
        <w:rPr>
          <w:b/>
        </w:rPr>
        <w:t xml:space="preserve">Syntax and context. </w:t>
      </w:r>
      <w:r>
        <w:t>A purpose of the seventy sevens, not an explicit statement that the figure in verse 26 performs it by his death.</w:t>
      </w:r>
    </w:p>
    <w:p>
      <w:pPr>
        <w:keepNext w:val="0"/>
      </w:pPr>
      <w:r>
        <w:rPr>
          <w:b/>
        </w:rPr>
        <w:t xml:space="preserve">Significance. </w:t>
      </w:r>
      <w:r>
        <w:t>A strong Christian theological association; insufficient alone to establish penal substitution or Jesus as the named referent of this verse.</w:t>
      </w:r>
    </w:p>
    <w:p>
      <w:pPr>
        <w:pStyle w:val="Heading2"/>
      </w:pPr>
      <w:r>
        <w:rPr>
          <w:rFonts w:cs="DejaVu Sans"/>
        </w:rPr>
        <w:t>צֶדֶק עֹלָמִים  (tsedeq ʿolamim)</w:t>
      </w:r>
    </w:p>
    <w:p>
      <w:pPr>
        <w:keepNext/>
      </w:pPr>
      <w:r>
        <w:rPr>
          <w:b/>
        </w:rPr>
        <w:t xml:space="preserve">Range. </w:t>
      </w:r>
      <w:r>
        <w:t>Enduring or everlasting righteousness.</w:t>
      </w:r>
    </w:p>
    <w:p>
      <w:pPr>
        <w:keepNext/>
      </w:pPr>
      <w:r>
        <w:rPr>
          <w:b/>
        </w:rPr>
        <w:t xml:space="preserve">Syntax and context. </w:t>
      </w:r>
      <w:r>
        <w:t>The fourth objective reaches beyond a momentary end to hostilities.</w:t>
      </w:r>
    </w:p>
    <w:p>
      <w:pPr>
        <w:keepNext w:val="0"/>
      </w:pPr>
      <w:r>
        <w:rPr>
          <w:b/>
        </w:rPr>
        <w:t xml:space="preserve">Significance. </w:t>
      </w:r>
      <w:r>
        <w:t>A purely exhausted-in-164 BC reading must explain the continuing sin and suffering after that date; inaugurated Christian fulfillment also must explain continuing evil.</w:t>
      </w:r>
    </w:p>
    <w:p>
      <w:pPr>
        <w:pStyle w:val="Heading2"/>
      </w:pPr>
      <w:r>
        <w:rPr>
          <w:rFonts w:cs="DejaVu Sans"/>
        </w:rPr>
        <w:t>לַחְתֹּם חָזוֹן וְנָבִיא  (laḥtom ḥazon wenaviʾ)</w:t>
      </w:r>
    </w:p>
    <w:p>
      <w:pPr>
        <w:keepNext/>
      </w:pPr>
      <w:r>
        <w:rPr>
          <w:b/>
        </w:rPr>
        <w:t xml:space="preserve">Range. </w:t>
      </w:r>
      <w:r>
        <w:t>To seal vision and prophet.</w:t>
      </w:r>
    </w:p>
    <w:p>
      <w:pPr>
        <w:keepNext/>
      </w:pPr>
      <w:r>
        <w:rPr>
          <w:b/>
        </w:rPr>
        <w:t xml:space="preserve">Syntax and context. </w:t>
      </w:r>
      <w:r>
        <w:t>Sealing can secure, authenticate or bring to completion; vision and prophet are coordinated.</w:t>
      </w:r>
    </w:p>
    <w:p>
      <w:pPr>
        <w:keepNext w:val="0"/>
      </w:pPr>
      <w:r>
        <w:rPr>
          <w:b/>
        </w:rPr>
        <w:t xml:space="preserve">Significance. </w:t>
      </w:r>
      <w:r>
        <w:t>It need not mean that no prophet can speak after the seventy weeks, nor does the wording name the closing of a Christian canon.</w:t>
      </w:r>
    </w:p>
    <w:p>
      <w:pPr>
        <w:pStyle w:val="Heading2"/>
      </w:pPr>
      <w:r>
        <w:rPr>
          <w:rFonts w:cs="DejaVu Sans"/>
        </w:rPr>
        <w:t>קֹדֶשׁ קָדָשִׁים  (qodesh qodashim)</w:t>
      </w:r>
    </w:p>
    <w:p>
      <w:pPr>
        <w:keepNext/>
      </w:pPr>
      <w:r>
        <w:rPr>
          <w:b/>
        </w:rPr>
        <w:t xml:space="preserve">Range. </w:t>
      </w:r>
      <w:r>
        <w:t>A most holy thing/place; literally holiness of holinesses.</w:t>
      </w:r>
    </w:p>
    <w:p>
      <w:pPr>
        <w:keepNext/>
      </w:pPr>
      <w:r>
        <w:rPr>
          <w:b/>
        </w:rPr>
        <w:t xml:space="preserve">Syntax and context. </w:t>
      </w:r>
      <w:r>
        <w:t>A superlative construction, normally used of sanctuary space, offerings or sacred objects. A personal application is argued from 1 Chronicles 23:13, whose syntax is disputed.</w:t>
      </w:r>
    </w:p>
    <w:p>
      <w:pPr>
        <w:keepNext w:val="0"/>
      </w:pPr>
      <w:r>
        <w:rPr>
          <w:b/>
        </w:rPr>
        <w:t xml:space="preserve">Significance. </w:t>
      </w:r>
      <w:r>
        <w:t>Temple consecration is the more natural local sense. English “Most Holy” must not silently become a proper name for Jesus.</w:t>
      </w:r>
    </w:p>
    <w:p>
      <w:pPr>
        <w:pStyle w:val="Heading2"/>
      </w:pPr>
      <w:r>
        <w:rPr>
          <w:rFonts w:cs="DejaVu Sans"/>
        </w:rPr>
        <w:t>מִן־מֹצָא דָבָר  (min-motsaʾ davar)</w:t>
      </w:r>
    </w:p>
    <w:p>
      <w:pPr>
        <w:keepNext/>
      </w:pPr>
      <w:r>
        <w:rPr>
          <w:b/>
        </w:rPr>
        <w:t xml:space="preserve">Range. </w:t>
      </w:r>
      <w:r>
        <w:t>From the going out of a word.</w:t>
      </w:r>
    </w:p>
    <w:p>
      <w:pPr>
        <w:keepNext/>
      </w:pPr>
      <w:r>
        <w:rPr>
          <w:b/>
        </w:rPr>
        <w:t xml:space="preserve">Syntax and context. </w:t>
      </w:r>
      <w:r>
        <w:t>The following infinitives concern restoring and building Jerusalem. “Word” also appears in 9:2 and 9:23.</w:t>
      </w:r>
    </w:p>
    <w:p>
      <w:pPr>
        <w:keepNext w:val="0"/>
      </w:pPr>
      <w:r>
        <w:rPr>
          <w:b/>
        </w:rPr>
        <w:t xml:space="preserve">Significance. </w:t>
      </w:r>
      <w:r>
        <w:t>Neither “royal decree” nor “Nehemiah’s decree” is lexically specified. Prophetic and divine words must be considered alongside Persian authorizations.</w:t>
      </w:r>
    </w:p>
    <w:p>
      <w:pPr>
        <w:pStyle w:val="Heading2"/>
      </w:pPr>
      <w:r>
        <w:rPr>
          <w:rFonts w:cs="DejaVu Sans"/>
        </w:rPr>
        <w:t>מָשִׁיחַ  (mashiaḥ)</w:t>
      </w:r>
    </w:p>
    <w:p>
      <w:pPr>
        <w:keepNext/>
      </w:pPr>
      <w:r>
        <w:rPr>
          <w:b/>
        </w:rPr>
        <w:t xml:space="preserve">Range. </w:t>
      </w:r>
      <w:r>
        <w:t>Anointed one: a consecrated king or priest, or one commissioned by God.</w:t>
      </w:r>
    </w:p>
    <w:p>
      <w:pPr>
        <w:keepNext/>
      </w:pPr>
      <w:r>
        <w:rPr>
          <w:b/>
        </w:rPr>
        <w:t xml:space="preserve">Syntax and context. </w:t>
      </w:r>
      <w:r>
        <w:t>Both occurrences in verses 25–26 lack the definite article. Compare Leviticus 4, 1 Samuel 24 and Cyrus in Isaiah 45:1.</w:t>
      </w:r>
    </w:p>
    <w:p>
      <w:pPr>
        <w:keepNext w:val="0"/>
      </w:pPr>
      <w:r>
        <w:rPr>
          <w:b/>
        </w:rPr>
        <w:t xml:space="preserve">Significance. </w:t>
      </w:r>
      <w:r>
        <w:t>Absence of the article does not prohibit a definite individual. It also does not supply the later title “the Messiah.” Context must identify the person.</w:t>
      </w:r>
    </w:p>
    <w:p>
      <w:pPr>
        <w:pStyle w:val="Heading2"/>
      </w:pPr>
      <w:r>
        <w:rPr>
          <w:rFonts w:cs="DejaVu Sans"/>
        </w:rPr>
        <w:t>מָשִׁיחַ נָגִיד  (mashiaḥ nagid)</w:t>
      </w:r>
    </w:p>
    <w:p>
      <w:pPr>
        <w:keepNext/>
      </w:pPr>
      <w:r>
        <w:rPr>
          <w:b/>
        </w:rPr>
        <w:t xml:space="preserve">Range. </w:t>
      </w:r>
      <w:r>
        <w:t>An anointed one, a ruler/leader.</w:t>
      </w:r>
    </w:p>
    <w:p>
      <w:pPr>
        <w:keepNext/>
      </w:pPr>
      <w:r>
        <w:rPr>
          <w:b/>
        </w:rPr>
        <w:t xml:space="preserve">Syntax and context. </w:t>
      </w:r>
      <w:r>
        <w:t>Appositional nouns after “until”; neither is marked by the definite article.</w:t>
      </w:r>
    </w:p>
    <w:p>
      <w:pPr>
        <w:keepNext w:val="0"/>
      </w:pPr>
      <w:r>
        <w:rPr>
          <w:b/>
        </w:rPr>
        <w:t xml:space="preserve">Significance. </w:t>
      </w:r>
      <w:r>
        <w:t>A royal or priestly leader fits. Capitalization in translation cannot establish Jesus, and “prince” need not mean the son of a king.</w:t>
      </w:r>
    </w:p>
    <w:p>
      <w:pPr>
        <w:pStyle w:val="Heading2"/>
      </w:pPr>
      <w:r>
        <w:rPr>
          <w:rFonts w:cs="DejaVu Sans"/>
        </w:rPr>
        <w:t>שָׁבֻעִים שִׁבְעָה … וְשָׁבֻעִים שִׁשִּׁים וּשְׁנַיִם  (shavuʿim shivʿah … weshavuʿim shishshim ushenayim)</w:t>
      </w:r>
    </w:p>
    <w:p>
      <w:pPr>
        <w:keepNext/>
      </w:pPr>
      <w:r>
        <w:rPr>
          <w:b/>
        </w:rPr>
        <w:t xml:space="preserve">Range. </w:t>
      </w:r>
      <w:r>
        <w:t>Seven weeks … and sixty-two weeks.</w:t>
      </w:r>
    </w:p>
    <w:p>
      <w:pPr>
        <w:keepNext/>
      </w:pPr>
      <w:r>
        <w:rPr>
          <w:b/>
        </w:rPr>
        <w:t xml:space="preserve">Syntax and context. </w:t>
      </w:r>
      <w:r>
        <w:t>The Masoretic major disjunction falls after seven. With that division, seven reaches an anointed ruler and sixty-two describes rebuilding. Without it, both numbers can qualify the interval to the ruler.</w:t>
      </w:r>
    </w:p>
    <w:p>
      <w:pPr>
        <w:keepNext w:val="0"/>
      </w:pPr>
      <w:r>
        <w:rPr>
          <w:b/>
        </w:rPr>
        <w:t xml:space="preserve">Significance. </w:t>
      </w:r>
      <w:r>
        <w:t>Two serious parses exist. The traditional 69-week arrival depends on joining the units; the total 70 does not resolve that syntax.</w:t>
      </w:r>
    </w:p>
    <w:p>
      <w:pPr>
        <w:pStyle w:val="Heading2"/>
      </w:pPr>
      <w:r>
        <w:rPr>
          <w:rFonts w:cs="DejaVu Sans"/>
        </w:rPr>
        <w:t>וְאַחֲרֵי הַשָּׁבֻעִים שִׁשִּׁים וּשְׁנַיִם  (weʾaḥarē hashshavuʿim shishshim ushenayim)</w:t>
      </w:r>
    </w:p>
    <w:p>
      <w:pPr>
        <w:keepNext/>
      </w:pPr>
      <w:r>
        <w:rPr>
          <w:b/>
        </w:rPr>
        <w:t xml:space="preserve">Range. </w:t>
      </w:r>
      <w:r>
        <w:t>And after the sixty-two weeks.</w:t>
      </w:r>
    </w:p>
    <w:p>
      <w:pPr>
        <w:keepNext/>
      </w:pPr>
      <w:r>
        <w:rPr>
          <w:b/>
        </w:rPr>
        <w:t xml:space="preserve">Syntax and context. </w:t>
      </w:r>
      <w:r>
        <w:t>The article looks back to the specified sixty-two. “After” gives sequence, not the exact instant of death.</w:t>
      </w:r>
    </w:p>
    <w:p>
      <w:pPr>
        <w:keepNext w:val="0"/>
      </w:pPr>
      <w:r>
        <w:rPr>
          <w:b/>
        </w:rPr>
        <w:t xml:space="preserve">Significance. </w:t>
      </w:r>
      <w:r>
        <w:t>This favors taking the 62 as a real sub-unit. It does not itself authorize an indefinitely long gap or equate the arrival and cutting off.</w:t>
      </w:r>
    </w:p>
    <w:p>
      <w:pPr>
        <w:pStyle w:val="Heading2"/>
      </w:pPr>
      <w:r>
        <w:rPr>
          <w:rFonts w:cs="DejaVu Sans"/>
        </w:rPr>
        <w:t>יִכָּרֵת  (yikkarēt)</w:t>
      </w:r>
    </w:p>
    <w:p>
      <w:pPr>
        <w:keepNext/>
      </w:pPr>
      <w:r>
        <w:rPr>
          <w:b/>
        </w:rPr>
        <w:t xml:space="preserve">Range. </w:t>
      </w:r>
      <w:r>
        <w:t>Will be cut off, removed or destroyed.</w:t>
      </w:r>
    </w:p>
    <w:p>
      <w:pPr>
        <w:keepNext/>
      </w:pPr>
      <w:r>
        <w:rPr>
          <w:b/>
        </w:rPr>
        <w:t xml:space="preserve">Syntax and context. </w:t>
      </w:r>
      <w:r>
        <w:rPr>
          <w:rFonts w:cs="DejaVu Sans"/>
        </w:rPr>
        <w:t>Niphal imperfect, third masculine singular, from כרת. This is the actual form in 9:26, rather than the perfect nikhrat named in the prompt. In context violent death is plausible.</w:t>
      </w:r>
    </w:p>
    <w:p>
      <w:pPr>
        <w:keepNext w:val="0"/>
      </w:pPr>
      <w:r>
        <w:rPr>
          <w:b/>
        </w:rPr>
        <w:t xml:space="preserve">Significance. </w:t>
      </w:r>
      <w:r>
        <w:t>It does not specify crucifixion, the victim’s moral guilt, or the saving purpose of the death. The same root cannot carry every use’s associations at once.</w:t>
      </w:r>
    </w:p>
    <w:p>
      <w:pPr>
        <w:pStyle w:val="Heading2"/>
      </w:pPr>
      <w:r>
        <w:rPr>
          <w:rFonts w:cs="DejaVu Sans"/>
        </w:rPr>
        <w:t>וְאֵין לוֹ  (weʾēn lo)</w:t>
      </w:r>
    </w:p>
    <w:p>
      <w:pPr>
        <w:keepNext/>
      </w:pPr>
      <w:r>
        <w:rPr>
          <w:b/>
        </w:rPr>
        <w:t xml:space="preserve">Range. </w:t>
      </w:r>
      <w:r>
        <w:t>And there is nothing/no one for him; he has nothing.</w:t>
      </w:r>
    </w:p>
    <w:p>
      <w:pPr>
        <w:keepNext/>
      </w:pPr>
      <w:r>
        <w:rPr>
          <w:b/>
        </w:rPr>
        <w:t xml:space="preserve">Syntax and context. </w:t>
      </w:r>
      <w:r>
        <w:t>Existential negation plus a possessive/benefactive prepositional phrase; its missing referent may concern support, status or possession.</w:t>
      </w:r>
    </w:p>
    <w:p>
      <w:pPr>
        <w:keepNext w:val="0"/>
      </w:pPr>
      <w:r>
        <w:rPr>
          <w:b/>
        </w:rPr>
        <w:t xml:space="preserve">Significance. </w:t>
      </w:r>
      <w:r>
        <w:t>The traditional “not for himself” is not a secure translation of vicarious death. Nor is a specific lost kingdom or child supplied explicitly.</w:t>
      </w:r>
    </w:p>
    <w:p>
      <w:pPr>
        <w:pStyle w:val="Heading2"/>
      </w:pPr>
      <w:r>
        <w:rPr>
          <w:rFonts w:cs="DejaVu Sans"/>
        </w:rPr>
        <w:t>עַם נָגִיד הַבָּא  (ʿam nagid habbaʾ)</w:t>
      </w:r>
    </w:p>
    <w:p>
      <w:pPr>
        <w:keepNext/>
      </w:pPr>
      <w:r>
        <w:rPr>
          <w:b/>
        </w:rPr>
        <w:t xml:space="preserve">Range. </w:t>
      </w:r>
      <w:r>
        <w:t>The people of a coming ruler.</w:t>
      </w:r>
    </w:p>
    <w:p>
      <w:pPr>
        <w:keepNext/>
      </w:pPr>
      <w:r>
        <w:rPr>
          <w:b/>
        </w:rPr>
        <w:t xml:space="preserve">Syntax and context. </w:t>
      </w:r>
      <w:r>
        <w:rPr>
          <w:rFonts w:cs="DejaVu Sans"/>
        </w:rPr>
        <w:t>The people is the subject in the MT reading; the following participle describes the ruler. The consonants עם can also be vocalized “with,” reflected in ancient alternatives.</w:t>
      </w:r>
    </w:p>
    <w:p>
      <w:pPr>
        <w:keepNext w:val="0"/>
      </w:pPr>
      <w:r>
        <w:rPr>
          <w:b/>
        </w:rPr>
        <w:t xml:space="preserve">Significance. </w:t>
      </w:r>
      <w:r>
        <w:t>The ruler is not automatically identical with the first anointed ruler. Roman troops do not establish the nationality or era of a hypothetical later Antichrist.</w:t>
      </w:r>
    </w:p>
    <w:p>
      <w:pPr>
        <w:pStyle w:val="Heading2"/>
      </w:pPr>
      <w:r>
        <w:rPr>
          <w:rFonts w:cs="DejaVu Sans"/>
        </w:rPr>
        <w:t>יַשְׁחִית … וְקִצּוֹ בַשֶּׁטֶף  (yashḥit … weqittso vashshetef)</w:t>
      </w:r>
    </w:p>
    <w:p>
      <w:pPr>
        <w:keepNext/>
      </w:pPr>
      <w:r>
        <w:rPr>
          <w:b/>
        </w:rPr>
        <w:t xml:space="preserve">Range. </w:t>
      </w:r>
      <w:r>
        <w:t>Will destroy/ruin … and his/its end with a flood.</w:t>
      </w:r>
    </w:p>
    <w:p>
      <w:pPr>
        <w:keepNext/>
      </w:pPr>
      <w:r>
        <w:rPr>
          <w:b/>
        </w:rPr>
        <w:t xml:space="preserve">Syntax and context. </w:t>
      </w:r>
      <w:r>
        <w:rPr>
          <w:rFonts w:cs="DejaVu Sans"/>
        </w:rPr>
        <w:t>Hiphil of שחת with city and sanctuary as objects; suffix antecedent uncertain; flood can picture overwhelming war.</w:t>
      </w:r>
    </w:p>
    <w:p>
      <w:pPr>
        <w:keepNext w:val="0"/>
      </w:pPr>
      <w:r>
        <w:rPr>
          <w:b/>
        </w:rPr>
        <w:t xml:space="preserve">Significance. </w:t>
      </w:r>
      <w:r>
        <w:t>Physical devastation is stronger than a merely moral-corruption gloss. Complete demolition of every structure is not contained in the verb itself.</w:t>
      </w:r>
    </w:p>
    <w:p>
      <w:pPr>
        <w:pStyle w:val="Heading2"/>
      </w:pPr>
      <w:r>
        <w:rPr>
          <w:rFonts w:cs="DejaVu Sans"/>
        </w:rPr>
        <w:t>וְהִגְבִּיר בְּרִית לָרַבִּים  (wehigbir berit larabbim)</w:t>
      </w:r>
    </w:p>
    <w:p>
      <w:pPr>
        <w:keepNext/>
      </w:pPr>
      <w:r>
        <w:rPr>
          <w:b/>
        </w:rPr>
        <w:t xml:space="preserve">Range. </w:t>
      </w:r>
      <w:r>
        <w:t>He will make a covenant strong/prevail for the many.</w:t>
      </w:r>
    </w:p>
    <w:p>
      <w:pPr>
        <w:keepNext/>
      </w:pPr>
      <w:r>
        <w:rPr>
          <w:b/>
        </w:rPr>
        <w:t xml:space="preserve">Syntax and context. </w:t>
      </w:r>
      <w:r>
        <w:t>Third masculine singular with no expressed subject; berit lacks the article. This is not the usual “cut a covenant” formula. Rabbim can concern the many, and some render the great/leading ones.</w:t>
      </w:r>
    </w:p>
    <w:p>
      <w:pPr>
        <w:keepNext w:val="0"/>
      </w:pPr>
      <w:r>
        <w:rPr>
          <w:b/>
        </w:rPr>
        <w:t xml:space="preserve">Significance. </w:t>
      </w:r>
      <w:r>
        <w:t>Neither Christ’s new covenant nor an Antichrist peace treaty is named. The nearest ruler is a plausible antecedent, not an exceptionless grammatical rule.</w:t>
      </w:r>
    </w:p>
    <w:p>
      <w:pPr>
        <w:pStyle w:val="Heading2"/>
      </w:pPr>
      <w:r>
        <w:rPr>
          <w:rFonts w:cs="DejaVu Sans"/>
        </w:rPr>
        <w:t>שָׁבוּעַ אֶחָד  (shavuaʿ eḥad)</w:t>
      </w:r>
    </w:p>
    <w:p>
      <w:pPr>
        <w:keepNext/>
      </w:pPr>
      <w:r>
        <w:rPr>
          <w:b/>
        </w:rPr>
        <w:t xml:space="preserve">Range. </w:t>
      </w:r>
      <w:r>
        <w:t>One week/seven.</w:t>
      </w:r>
    </w:p>
    <w:p>
      <w:pPr>
        <w:keepNext/>
      </w:pPr>
      <w:r>
        <w:rPr>
          <w:b/>
        </w:rPr>
        <w:t xml:space="preserve">Syntax and context. </w:t>
      </w:r>
      <w:r>
        <w:t>The remaining one after seven and sixty-two; a temporal expression associated with covenant activity.</w:t>
      </w:r>
    </w:p>
    <w:p>
      <w:pPr>
        <w:keepNext w:val="0"/>
      </w:pPr>
      <w:r>
        <w:rPr>
          <w:b/>
        </w:rPr>
        <w:t xml:space="preserve">Significance. </w:t>
      </w:r>
      <w:r>
        <w:t>Seven years is natural in the year-week reading. A millennia-long interval before this week must be argued, not read as an explicit clause.</w:t>
      </w:r>
    </w:p>
    <w:p>
      <w:pPr>
        <w:pStyle w:val="Heading2"/>
      </w:pPr>
      <w:r>
        <w:rPr>
          <w:rFonts w:cs="DejaVu Sans"/>
        </w:rPr>
        <w:t>וַחֲצִי הַשָּׁבוּעַ  (waḥatsi hashshavuaʿ)</w:t>
      </w:r>
    </w:p>
    <w:p>
      <w:pPr>
        <w:keepNext/>
      </w:pPr>
      <w:r>
        <w:rPr>
          <w:b/>
        </w:rPr>
        <w:t xml:space="preserve">Range. </w:t>
      </w:r>
      <w:r>
        <w:t>And half of the week.</w:t>
      </w:r>
    </w:p>
    <w:p>
      <w:pPr>
        <w:keepNext/>
      </w:pPr>
      <w:r>
        <w:rPr>
          <w:b/>
        </w:rPr>
        <w:t xml:space="preserve">Syntax and context. </w:t>
      </w:r>
      <w:r>
        <w:t>A temporal expression variously understood as for half the week or at/in its middle.</w:t>
      </w:r>
    </w:p>
    <w:p>
      <w:pPr>
        <w:keepNext w:val="0"/>
      </w:pPr>
      <w:r>
        <w:rPr>
          <w:b/>
        </w:rPr>
        <w:t xml:space="preserve">Significance. </w:t>
      </w:r>
      <w:r>
        <w:t>A precisely dated midpoint is more specific than some defensible renderings. Either way, the disruption is bounded rather than indefinite.</w:t>
      </w:r>
    </w:p>
    <w:p>
      <w:pPr>
        <w:pStyle w:val="Heading2"/>
      </w:pPr>
      <w:r>
        <w:rPr>
          <w:rFonts w:cs="DejaVu Sans"/>
        </w:rPr>
        <w:t>יַשְׁבִּית זֶבַח וּמִנְחָה  (yashbit zevaḥ uminḥah)</w:t>
      </w:r>
    </w:p>
    <w:p>
      <w:pPr>
        <w:keepNext/>
      </w:pPr>
      <w:r>
        <w:rPr>
          <w:b/>
        </w:rPr>
        <w:t xml:space="preserve">Range. </w:t>
      </w:r>
      <w:r>
        <w:t>He will cause sacrifice and offering to cease.</w:t>
      </w:r>
    </w:p>
    <w:p>
      <w:pPr>
        <w:keepNext/>
      </w:pPr>
      <w:r>
        <w:rPr>
          <w:b/>
        </w:rPr>
        <w:t xml:space="preserve">Syntax and context. </w:t>
      </w:r>
      <w:r>
        <w:t>Hiphil verb with sacrificial terms: slaughtered sacrifice and offering, often grain offering in cultic pairing.</w:t>
      </w:r>
    </w:p>
    <w:p>
      <w:pPr>
        <w:keepNext w:val="0"/>
      </w:pPr>
      <w:r>
        <w:rPr>
          <w:b/>
        </w:rPr>
        <w:t xml:space="preserve">Significance. </w:t>
      </w:r>
      <w:r>
        <w:t>Actual interruption of temple worship is the immediate sense. Christ making sacrifice unnecessary and an army stopping it are different explanatory claims.</w:t>
      </w:r>
    </w:p>
    <w:p>
      <w:pPr>
        <w:pStyle w:val="Heading2"/>
      </w:pPr>
      <w:r>
        <w:rPr>
          <w:rFonts w:cs="DejaVu Sans"/>
        </w:rPr>
        <w:t>כְּנַף שִׁקּוּצִים מְשֹׁמֵם  (kenaf shiqqutsim meshomēm)</w:t>
      </w:r>
    </w:p>
    <w:p>
      <w:pPr>
        <w:keepNext/>
      </w:pPr>
      <w:r>
        <w:rPr>
          <w:b/>
        </w:rPr>
        <w:t xml:space="preserve">Range. </w:t>
      </w:r>
      <w:r>
        <w:t>Wing/extremity of abominations; a desolating one/thing.</w:t>
      </w:r>
    </w:p>
    <w:p>
      <w:pPr>
        <w:keepNext/>
      </w:pPr>
      <w:r>
        <w:rPr>
          <w:b/>
        </w:rPr>
        <w:t xml:space="preserve">Syntax and context. </w:t>
      </w:r>
      <w:r>
        <w:t>A difficult compressed phrase. The abomination vocabulary is cultic; compare 11:31 and 12:11. Greek and English witnesses interpret the location differently.</w:t>
      </w:r>
    </w:p>
    <w:p>
      <w:pPr>
        <w:keepNext w:val="0"/>
      </w:pPr>
      <w:r>
        <w:rPr>
          <w:b/>
        </w:rPr>
        <w:t xml:space="preserve">Significance. </w:t>
      </w:r>
      <w:r>
        <w:t>A temple wing, pagan installation or desolator is arguable; no lexical equation identifies one exact modern object or person.</w:t>
      </w:r>
    </w:p>
    <w:p>
      <w:pPr>
        <w:pStyle w:val="Heading2"/>
      </w:pPr>
      <w:r>
        <w:rPr>
          <w:rFonts w:cs="DejaVu Sans"/>
        </w:rPr>
        <w:t>כָּלָה וְנֶחֱרָצָה  (kalah weneḥeratsah)</w:t>
      </w:r>
    </w:p>
    <w:p>
      <w:pPr>
        <w:keepNext/>
      </w:pPr>
      <w:r>
        <w:rPr>
          <w:b/>
        </w:rPr>
        <w:t xml:space="preserve">Range. </w:t>
      </w:r>
      <w:r>
        <w:t>A consummation/destruction, decreed.</w:t>
      </w:r>
    </w:p>
    <w:p>
      <w:pPr>
        <w:keepNext/>
      </w:pPr>
      <w:r>
        <w:rPr>
          <w:b/>
        </w:rPr>
        <w:t xml:space="preserve">Syntax and context. </w:t>
      </w:r>
      <w:r>
        <w:t>The final clause announces the outpouring of a determined end upon the desolator/desolate, with the final participle’s referent debated.</w:t>
      </w:r>
    </w:p>
    <w:p>
      <w:pPr>
        <w:keepNext w:val="0"/>
      </w:pPr>
      <w:r>
        <w:rPr>
          <w:b/>
        </w:rPr>
        <w:t xml:space="preserve">Significance. </w:t>
      </w:r>
      <w:r>
        <w:t>God limits the calamity. The clause supplies theological finality, not an unambiguous modern calendar endpoint.</w:t>
      </w:r>
    </w:p>
    <w:p>
      <w:pPr>
        <w:pStyle w:val="Heading1"/>
      </w:pPr>
      <w:r>
        <w:t>3. Textual witnesses and translation decisions</w:t>
      </w:r>
    </w:p>
    <w:p>
      <w:pPr>
        <w:keepNext w:val="0"/>
      </w:pPr>
      <w:r>
        <w:t>The Hebrew entries above analyze the Masoretic wording; they are not a new critical edition. The comparison below separates the text’s words from translators’ decisions about punctuation, capitals, supplied nouns and referents. Reading only an English capitalized “Messiah” would prejudge the central question. Reading only a lowercase “anointed one” would not disprove a messianic referent.</w:t>
      </w:r>
      <w:r>
        <w:rPr>
          <w:vertAlign w:val="superscript"/>
        </w:rPr>
        <w:footnoteReference w:id="4"/>
      </w:r>
    </w:p>
    <w:p>
      <w:pPr>
        <w:pStyle w:val="Heading2"/>
      </w:pPr>
      <w:r>
        <w:t>Masoretic division</w:t>
      </w:r>
    </w:p>
    <w:p>
      <w:pPr>
        <w:keepNext w:val="0"/>
      </w:pPr>
      <w:r>
        <w:t>The athnach after seven weeks in verse 25 is meaningful evidence for the received Jewish reading tradition. These written accents are later than the consonantal text; they are neither original English punctuation nor disposable evidence of a conspiracy. Consonantal syntax permits debate. The strongest reason for the split is its fit with the distinct sixty-two weeks subsequently recalled in verse 26, not simply the age of the accent. Conversely, Hebrew coordination makes the joined reading possible.</w:t>
      </w:r>
      <w:r>
        <w:rPr>
          <w:vertAlign w:val="superscript"/>
        </w:rPr>
        <w:footnoteReference w:id="5"/>
      </w:r>
    </w:p>
    <w:p>
      <w:pPr>
        <w:keepNext w:val="0"/>
      </w:pPr>
      <w:r>
        <w:t>Both parses still contain seven, sixty-two and one. The question is where the first anointed ruler appears and whether verse 26 recalls him or introduces another. Thus punctuation affects the classic Christian arrival calculation materially even though it does not change 7 + 62 + 1 = 70.</w:t>
      </w:r>
    </w:p>
    <w:p>
      <w:pPr>
        <w:pStyle w:val="Heading2"/>
      </w:pPr>
      <w:r>
        <w:t>Old Greek and Theodotion are distinct</w:t>
      </w:r>
    </w:p>
    <w:p>
      <w:pPr>
        <w:keepNext w:val="0"/>
      </w:pPr>
      <w:r>
        <w:t>The Old Greek version of Daniel and the later Greek form conventionally called Theodotion must not be collapsed into a single “Septuagint.” In the relevant comparison reported by Ulrich, verse 26 in both uses chrisma, anointing, rather than simply christos, anointed person. Theodotion’s verse 25 does have an anointed ruler. Old Greek also differs at the final objective of verse 24, speaking of gladdening a holy of holies. These witnesses show early interpretive and textual complexity; they do not establish a Christian proper name or one universally transmitted chronology.</w:t>
      </w:r>
      <w:r>
        <w:rPr>
          <w:vertAlign w:val="superscript"/>
        </w:rPr>
        <w:footnoteReference w:id="6"/>
      </w:r>
    </w:p>
    <w:p>
      <w:pPr>
        <w:keepNext w:val="0"/>
      </w:pPr>
      <w:r>
        <w:t>Access limitation: direct retrieval of the full critical Old Greek/Theodotion editions and NETS Daniel failed. The foregoing is a bounded comparison of Greek readings reproduced in a consulted scholarly article, not an independent collation. No conclusion rests on reconstructed Old Greek numbers, an unverified 139-year reading, or the assumption that a Greek variant is necessarily the earliest Hebrew text. A specialist collation could refine this subsection without rescuing an exact-day claim from its independent historical problems.</w:t>
      </w:r>
    </w:p>
    <w:p>
      <w:pPr>
        <w:pStyle w:val="Heading2"/>
      </w:pPr>
      <w:r>
        <w:t>Dead Sea Scroll evidence</w:t>
      </w:r>
    </w:p>
    <w:p>
      <w:pPr>
        <w:keepNext w:val="0"/>
      </w:pPr>
      <w:r>
        <w:t>The extant Daniel manuscript coverage listed for chapter 9 includes 4Q116 at verses 12–17, not a continuous copy of verses 24–27. That gap must not be filled by claiming Qumran proves the punctuation of verse 25. The separate 11QMelchizedek composition, 11Q13 column II, combines jubilee deliverance, Isaiah and an anointed herald with a reconstructed citation of Daniel 9:25. Brackets in the edition mark missing/restored wording. It is important evidence of early eschatological reception, not a complete manuscript of this passage or an identification of Jesus.</w:t>
      </w:r>
      <w:r>
        <w:rPr>
          <w:vertAlign w:val="superscript"/>
        </w:rPr>
        <w:footnoteReference w:id="7"/>
      </w:r>
    </w:p>
    <w:p>
      <w:pPr>
        <w:pStyle w:val="Heading2"/>
      </w:pPr>
      <w:r>
        <w:t>Translation table and unavailable commentary</w:t>
      </w:r>
    </w:p>
    <w:p>
      <w:pPr>
        <w:keepNext w:val="0"/>
      </w:pPr>
      <w:r>
        <w:t>The following table records only decisions material to this audit. Complete Jewish Study Bible commentary was not accessible; the Complete Jewish Bible translation was. No study-note position is inferred from its translation. Neither a translation’s religious constituency nor its typography settles the Hebrew.</w:t>
      </w:r>
      <w:r>
        <w:rPr>
          <w:vertAlign w:val="superscript"/>
        </w:rPr>
        <w:footnoteReference w:id="8"/>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2160"/>
        <w:gridCol w:w="2304"/>
        <w:gridCol w:w="4104"/>
      </w:tblGrid>
      <w:tr>
        <w:trPr>
          <w:tblHeader/>
          <w:cantSplit/>
        </w:trPr>
        <w:tc>
          <w:tcPr>
            <w:tcW w:type="dxa" w:w="1224"/>
            <w:vAlign w:val="center"/>
            <w:tcMar>
              <w:top w:w="85" w:type="dxa"/>
              <w:left w:w="85" w:type="dxa"/>
              <w:bottom w:w="85" w:type="dxa"/>
              <w:right w:w="85" w:type="dxa"/>
            </w:tcMar>
            <w:shd w:fill="404040"/>
          </w:tcPr>
          <w:p>
            <w:pPr>
              <w:spacing w:before="40" w:after="40"/>
            </w:pPr>
            <w:r>
              <w:rPr>
                <w:b/>
                <w:color w:val="FFFFFF"/>
                <w:sz w:val="20"/>
              </w:rPr>
              <w:t>Witness</w:t>
            </w:r>
          </w:p>
        </w:tc>
        <w:tc>
          <w:tcPr>
            <w:tcW w:type="dxa" w:w="2160"/>
            <w:vAlign w:val="center"/>
            <w:tcMar>
              <w:top w:w="85" w:type="dxa"/>
              <w:left w:w="85" w:type="dxa"/>
              <w:bottom w:w="85" w:type="dxa"/>
              <w:right w:w="85" w:type="dxa"/>
            </w:tcMar>
            <w:shd w:fill="404040"/>
          </w:tcPr>
          <w:p>
            <w:pPr>
              <w:spacing w:before="40" w:after="40"/>
            </w:pPr>
            <w:r>
              <w:rPr>
                <w:b/>
                <w:color w:val="FFFFFF"/>
                <w:sz w:val="20"/>
              </w:rPr>
              <w:t>Verse 25 arrangement</w:t>
            </w:r>
          </w:p>
        </w:tc>
        <w:tc>
          <w:tcPr>
            <w:tcW w:type="dxa" w:w="2304"/>
            <w:vAlign w:val="center"/>
            <w:tcMar>
              <w:top w:w="85" w:type="dxa"/>
              <w:left w:w="85" w:type="dxa"/>
              <w:bottom w:w="85" w:type="dxa"/>
              <w:right w:w="85" w:type="dxa"/>
            </w:tcMar>
            <w:shd w:fill="404040"/>
          </w:tcPr>
          <w:p>
            <w:pPr>
              <w:spacing w:before="40" w:after="40"/>
            </w:pPr>
            <w:r>
              <w:rPr>
                <w:b/>
                <w:color w:val="FFFFFF"/>
                <w:sz w:val="20"/>
              </w:rPr>
              <w:t>Other material choice</w:t>
            </w:r>
          </w:p>
        </w:tc>
        <w:tc>
          <w:tcPr>
            <w:tcW w:type="dxa" w:w="4104"/>
            <w:vAlign w:val="center"/>
            <w:tcMar>
              <w:top w:w="85" w:type="dxa"/>
              <w:left w:w="85" w:type="dxa"/>
              <w:bottom w:w="85" w:type="dxa"/>
              <w:right w:w="85" w:type="dxa"/>
            </w:tcMar>
            <w:shd w:fill="404040"/>
          </w:tcPr>
          <w:p>
            <w:pPr>
              <w:spacing w:before="40" w:after="40"/>
            </w:pPr>
            <w:r>
              <w:rPr>
                <w:b/>
                <w:color w:val="FFFFFF"/>
                <w:sz w:val="20"/>
              </w:rPr>
              <w:t>Consequence</w:t>
            </w:r>
          </w:p>
        </w:tc>
      </w:tr>
      <w:tr>
        <w:trPr>
          <w:cantSplit/>
        </w:trPr>
        <w:tc>
          <w:tcPr>
            <w:tcW w:type="dxa" w:w="1224"/>
            <w:vAlign w:val="center"/>
            <w:tcMar>
              <w:top w:w="85" w:type="dxa"/>
              <w:left w:w="85" w:type="dxa"/>
              <w:bottom w:w="85" w:type="dxa"/>
              <w:right w:w="85" w:type="dxa"/>
            </w:tcMar>
          </w:tcPr>
          <w:p>
            <w:pPr>
              <w:spacing w:before="40" w:after="40"/>
            </w:pPr>
            <w:r>
              <w:rPr>
                <w:sz w:val="20"/>
              </w:rPr>
              <w:t>MT / JPS 1917</w:t>
            </w:r>
          </w:p>
        </w:tc>
        <w:tc>
          <w:tcPr>
            <w:tcW w:type="dxa" w:w="2160"/>
            <w:vAlign w:val="center"/>
            <w:tcMar>
              <w:top w:w="85" w:type="dxa"/>
              <w:left w:w="85" w:type="dxa"/>
              <w:bottom w:w="85" w:type="dxa"/>
              <w:right w:w="85" w:type="dxa"/>
            </w:tcMar>
          </w:tcPr>
          <w:p>
            <w:pPr>
              <w:spacing w:before="40" w:after="40"/>
            </w:pPr>
            <w:r>
              <w:rPr>
                <w:sz w:val="20"/>
              </w:rPr>
              <w:t>Strong break after seven; sixty-two belongs with the rebuilding clause.</w:t>
            </w:r>
          </w:p>
        </w:tc>
        <w:tc>
          <w:tcPr>
            <w:tcW w:type="dxa" w:w="2304"/>
            <w:vAlign w:val="center"/>
            <w:tcMar>
              <w:top w:w="85" w:type="dxa"/>
              <w:left w:w="85" w:type="dxa"/>
              <w:bottom w:w="85" w:type="dxa"/>
              <w:right w:w="85" w:type="dxa"/>
            </w:tcMar>
          </w:tcPr>
          <w:p>
            <w:pPr>
              <w:spacing w:before="40" w:after="40"/>
            </w:pPr>
            <w:r>
              <w:rPr>
                <w:sz w:val="20"/>
              </w:rPr>
              <w:t>Anointed one; ruler; has nothing.</w:t>
            </w:r>
          </w:p>
        </w:tc>
        <w:tc>
          <w:tcPr>
            <w:tcW w:type="dxa" w:w="4104"/>
            <w:vAlign w:val="center"/>
            <w:tcMar>
              <w:top w:w="85" w:type="dxa"/>
              <w:left w:w="85" w:type="dxa"/>
              <w:bottom w:w="85" w:type="dxa"/>
              <w:right w:w="85" w:type="dxa"/>
            </w:tcMar>
          </w:tcPr>
          <w:p>
            <w:pPr>
              <w:spacing w:before="40" w:after="40"/>
            </w:pPr>
            <w:r>
              <w:rPr>
                <w:sz w:val="20"/>
              </w:rPr>
              <w:t>Makes the two-stage/two-figure reading natural; accentuation witnesses interpretation, not original modern punctuation.</w:t>
            </w:r>
          </w:p>
        </w:tc>
      </w:tr>
      <w:tr>
        <w:trPr>
          <w:cantSplit/>
        </w:trPr>
        <w:tc>
          <w:tcPr>
            <w:tcW w:type="dxa" w:w="1224"/>
            <w:vAlign w:val="center"/>
            <w:tcMar>
              <w:top w:w="85" w:type="dxa"/>
              <w:left w:w="85" w:type="dxa"/>
              <w:bottom w:w="85" w:type="dxa"/>
              <w:right w:w="85" w:type="dxa"/>
            </w:tcMar>
            <w:shd w:fill="F6F6F6"/>
          </w:tcPr>
          <w:p>
            <w:pPr>
              <w:spacing w:before="40" w:after="40"/>
            </w:pPr>
            <w:r>
              <w:rPr>
                <w:sz w:val="20"/>
              </w:rPr>
              <w:t>ESV</w:t>
            </w:r>
          </w:p>
        </w:tc>
        <w:tc>
          <w:tcPr>
            <w:tcW w:type="dxa" w:w="2160"/>
            <w:vAlign w:val="center"/>
            <w:tcMar>
              <w:top w:w="85" w:type="dxa"/>
              <w:left w:w="85" w:type="dxa"/>
              <w:bottom w:w="85" w:type="dxa"/>
              <w:right w:w="85" w:type="dxa"/>
            </w:tcMar>
            <w:shd w:fill="F6F6F6"/>
          </w:tcPr>
          <w:p>
            <w:pPr>
              <w:spacing w:before="40" w:after="40"/>
            </w:pPr>
            <w:r>
              <w:rPr>
                <w:sz w:val="20"/>
              </w:rPr>
              <w:t>Seven until an anointed ruler; sixty-two with rebuilding.</w:t>
            </w:r>
          </w:p>
        </w:tc>
        <w:tc>
          <w:tcPr>
            <w:tcW w:type="dxa" w:w="2304"/>
            <w:vAlign w:val="center"/>
            <w:tcMar>
              <w:top w:w="85" w:type="dxa"/>
              <w:left w:w="85" w:type="dxa"/>
              <w:bottom w:w="85" w:type="dxa"/>
              <w:right w:w="85" w:type="dxa"/>
            </w:tcMar>
            <w:shd w:fill="F6F6F6"/>
          </w:tcPr>
          <w:p>
            <w:pPr>
              <w:spacing w:before="40" w:after="40"/>
            </w:pPr>
            <w:r>
              <w:rPr>
                <w:sz w:val="20"/>
              </w:rPr>
              <w:t>Lowercase anointed one; shall have nothing.</w:t>
            </w:r>
          </w:p>
        </w:tc>
        <w:tc>
          <w:tcPr>
            <w:tcW w:type="dxa" w:w="4104"/>
            <w:vAlign w:val="center"/>
            <w:tcMar>
              <w:top w:w="85" w:type="dxa"/>
              <w:left w:w="85" w:type="dxa"/>
              <w:bottom w:w="85" w:type="dxa"/>
              <w:right w:w="85" w:type="dxa"/>
            </w:tcMar>
            <w:shd w:fill="F6F6F6"/>
          </w:tcPr>
          <w:p>
            <w:pPr>
              <w:spacing w:before="40" w:after="40"/>
            </w:pPr>
            <w:r>
              <w:rPr>
                <w:sz w:val="20"/>
              </w:rPr>
              <w:t>A mainstream Christian translation follows the split. This is not a Jewish-versus-Christian divide.</w:t>
            </w:r>
          </w:p>
        </w:tc>
      </w:tr>
      <w:tr>
        <w:trPr>
          <w:cantSplit/>
        </w:trPr>
        <w:tc>
          <w:tcPr>
            <w:tcW w:type="dxa" w:w="1224"/>
            <w:vAlign w:val="center"/>
            <w:tcMar>
              <w:top w:w="85" w:type="dxa"/>
              <w:left w:w="85" w:type="dxa"/>
              <w:bottom w:w="85" w:type="dxa"/>
              <w:right w:w="85" w:type="dxa"/>
            </w:tcMar>
          </w:tcPr>
          <w:p>
            <w:pPr>
              <w:spacing w:before="40" w:after="40"/>
            </w:pPr>
            <w:r>
              <w:rPr>
                <w:sz w:val="20"/>
              </w:rPr>
              <w:t>KJV</w:t>
            </w:r>
          </w:p>
        </w:tc>
        <w:tc>
          <w:tcPr>
            <w:tcW w:type="dxa" w:w="2160"/>
            <w:vAlign w:val="center"/>
            <w:tcMar>
              <w:top w:w="85" w:type="dxa"/>
              <w:left w:w="85" w:type="dxa"/>
              <w:bottom w:w="85" w:type="dxa"/>
              <w:right w:w="85" w:type="dxa"/>
            </w:tcMar>
          </w:tcPr>
          <w:p>
            <w:pPr>
              <w:spacing w:before="40" w:after="40"/>
            </w:pPr>
            <w:r>
              <w:rPr>
                <w:sz w:val="20"/>
              </w:rPr>
              <w:t>Combines seven and sixty-two before the following clause.</w:t>
            </w:r>
          </w:p>
        </w:tc>
        <w:tc>
          <w:tcPr>
            <w:tcW w:type="dxa" w:w="2304"/>
            <w:vAlign w:val="center"/>
            <w:tcMar>
              <w:top w:w="85" w:type="dxa"/>
              <w:left w:w="85" w:type="dxa"/>
              <w:bottom w:w="85" w:type="dxa"/>
              <w:right w:w="85" w:type="dxa"/>
            </w:tcMar>
          </w:tcPr>
          <w:p>
            <w:pPr>
              <w:spacing w:before="40" w:after="40"/>
            </w:pPr>
            <w:r>
              <w:rPr>
                <w:sz w:val="20"/>
              </w:rPr>
              <w:t>Capitalized Messiah the Prince; “but not for himself.”</w:t>
            </w:r>
          </w:p>
        </w:tc>
        <w:tc>
          <w:tcPr>
            <w:tcW w:type="dxa" w:w="4104"/>
            <w:vAlign w:val="center"/>
            <w:tcMar>
              <w:top w:w="85" w:type="dxa"/>
              <w:left w:w="85" w:type="dxa"/>
              <w:bottom w:w="85" w:type="dxa"/>
              <w:right w:w="85" w:type="dxa"/>
            </w:tcMar>
          </w:tcPr>
          <w:p>
            <w:pPr>
              <w:spacing w:before="40" w:after="40"/>
            </w:pPr>
            <w:r>
              <w:rPr>
                <w:sz w:val="20"/>
              </w:rPr>
              <w:t>Facilitates a single messianic countdown and a vicarious reading; the latter wording is not secure Hebrew evidence.</w:t>
            </w:r>
          </w:p>
        </w:tc>
      </w:tr>
      <w:tr>
        <w:trPr>
          <w:cantSplit/>
        </w:trPr>
        <w:tc>
          <w:tcPr>
            <w:tcW w:type="dxa" w:w="1224"/>
            <w:vAlign w:val="center"/>
            <w:tcMar>
              <w:top w:w="85" w:type="dxa"/>
              <w:left w:w="85" w:type="dxa"/>
              <w:bottom w:w="85" w:type="dxa"/>
              <w:right w:w="85" w:type="dxa"/>
            </w:tcMar>
            <w:shd w:fill="F6F6F6"/>
          </w:tcPr>
          <w:p>
            <w:pPr>
              <w:spacing w:before="40" w:after="40"/>
            </w:pPr>
            <w:r>
              <w:rPr>
                <w:sz w:val="20"/>
              </w:rPr>
              <w:t>NASB 2020</w:t>
            </w:r>
          </w:p>
        </w:tc>
        <w:tc>
          <w:tcPr>
            <w:tcW w:type="dxa" w:w="2160"/>
            <w:vAlign w:val="center"/>
            <w:tcMar>
              <w:top w:w="85" w:type="dxa"/>
              <w:left w:w="85" w:type="dxa"/>
              <w:bottom w:w="85" w:type="dxa"/>
              <w:right w:w="85" w:type="dxa"/>
            </w:tcMar>
            <w:shd w:fill="F6F6F6"/>
          </w:tcPr>
          <w:p>
            <w:pPr>
              <w:spacing w:before="40" w:after="40"/>
            </w:pPr>
            <w:r>
              <w:rPr>
                <w:sz w:val="20"/>
              </w:rPr>
              <w:t>Combines seven and sixty-two.</w:t>
            </w:r>
          </w:p>
        </w:tc>
        <w:tc>
          <w:tcPr>
            <w:tcW w:type="dxa" w:w="2304"/>
            <w:vAlign w:val="center"/>
            <w:tcMar>
              <w:top w:w="85" w:type="dxa"/>
              <w:left w:w="85" w:type="dxa"/>
              <w:bottom w:w="85" w:type="dxa"/>
              <w:right w:w="85" w:type="dxa"/>
            </w:tcMar>
            <w:shd w:fill="F6F6F6"/>
          </w:tcPr>
          <w:p>
            <w:pPr>
              <w:spacing w:before="40" w:after="40"/>
            </w:pPr>
            <w:r>
              <w:rPr>
                <w:sz w:val="20"/>
              </w:rPr>
              <w:t>Capitalized Messiah the Prince; have nothing.</w:t>
            </w:r>
          </w:p>
        </w:tc>
        <w:tc>
          <w:tcPr>
            <w:tcW w:type="dxa" w:w="4104"/>
            <w:vAlign w:val="center"/>
            <w:tcMar>
              <w:top w:w="85" w:type="dxa"/>
              <w:left w:w="85" w:type="dxa"/>
              <w:bottom w:w="85" w:type="dxa"/>
              <w:right w:w="85" w:type="dxa"/>
            </w:tcMar>
            <w:shd w:fill="F6F6F6"/>
          </w:tcPr>
          <w:p>
            <w:pPr>
              <w:spacing w:before="40" w:after="40"/>
            </w:pPr>
            <w:r>
              <w:rPr>
                <w:sz w:val="20"/>
              </w:rPr>
              <w:t>Retains the traditional identification but avoids KJV’s vicarious wording.</w:t>
            </w:r>
          </w:p>
        </w:tc>
      </w:tr>
      <w:tr>
        <w:trPr>
          <w:cantSplit/>
        </w:trPr>
        <w:tc>
          <w:tcPr>
            <w:tcW w:type="dxa" w:w="1224"/>
            <w:vAlign w:val="center"/>
            <w:tcMar>
              <w:top w:w="85" w:type="dxa"/>
              <w:left w:w="85" w:type="dxa"/>
              <w:bottom w:w="85" w:type="dxa"/>
              <w:right w:w="85" w:type="dxa"/>
            </w:tcMar>
          </w:tcPr>
          <w:p>
            <w:pPr>
              <w:spacing w:before="40" w:after="40"/>
            </w:pPr>
            <w:r>
              <w:rPr>
                <w:sz w:val="20"/>
              </w:rPr>
              <w:t>NIV</w:t>
            </w:r>
          </w:p>
        </w:tc>
        <w:tc>
          <w:tcPr>
            <w:tcW w:type="dxa" w:w="2160"/>
            <w:vAlign w:val="center"/>
            <w:tcMar>
              <w:top w:w="85" w:type="dxa"/>
              <w:left w:w="85" w:type="dxa"/>
              <w:bottom w:w="85" w:type="dxa"/>
              <w:right w:w="85" w:type="dxa"/>
            </w:tcMar>
          </w:tcPr>
          <w:p>
            <w:pPr>
              <w:spacing w:before="40" w:after="40"/>
            </w:pPr>
            <w:r>
              <w:rPr>
                <w:sz w:val="20"/>
              </w:rPr>
              <w:t>Seven sevens and sixty-two sevens to the Anointed One.</w:t>
            </w:r>
          </w:p>
        </w:tc>
        <w:tc>
          <w:tcPr>
            <w:tcW w:type="dxa" w:w="2304"/>
            <w:vAlign w:val="center"/>
            <w:tcMar>
              <w:top w:w="85" w:type="dxa"/>
              <w:left w:w="85" w:type="dxa"/>
              <w:bottom w:w="85" w:type="dxa"/>
              <w:right w:w="85" w:type="dxa"/>
            </w:tcMar>
          </w:tcPr>
          <w:p>
            <w:pPr>
              <w:spacing w:before="40" w:after="40"/>
            </w:pPr>
            <w:r>
              <w:rPr>
                <w:sz w:val="20"/>
              </w:rPr>
              <w:t>Capitalized figure; put to death; nothing.</w:t>
            </w:r>
          </w:p>
        </w:tc>
        <w:tc>
          <w:tcPr>
            <w:tcW w:type="dxa" w:w="4104"/>
            <w:vAlign w:val="center"/>
            <w:tcMar>
              <w:top w:w="85" w:type="dxa"/>
              <w:left w:w="85" w:type="dxa"/>
              <w:bottom w:w="85" w:type="dxa"/>
              <w:right w:w="85" w:type="dxa"/>
            </w:tcMar>
          </w:tcPr>
          <w:p>
            <w:pPr>
              <w:spacing w:before="40" w:after="40"/>
            </w:pPr>
            <w:r>
              <w:rPr>
                <w:sz w:val="20"/>
              </w:rPr>
              <w:t>Makes the death explicit as an interpretation and links the units; its temple wording also resolves an obscure location.</w:t>
            </w:r>
          </w:p>
        </w:tc>
      </w:tr>
      <w:tr>
        <w:trPr>
          <w:cantSplit/>
        </w:trPr>
        <w:tc>
          <w:tcPr>
            <w:tcW w:type="dxa" w:w="1224"/>
            <w:vAlign w:val="center"/>
            <w:tcMar>
              <w:top w:w="85" w:type="dxa"/>
              <w:left w:w="85" w:type="dxa"/>
              <w:bottom w:w="85" w:type="dxa"/>
              <w:right w:w="85" w:type="dxa"/>
            </w:tcMar>
            <w:shd w:fill="F6F6F6"/>
          </w:tcPr>
          <w:p>
            <w:pPr>
              <w:spacing w:before="40" w:after="40"/>
            </w:pPr>
            <w:r>
              <w:rPr>
                <w:sz w:val="20"/>
              </w:rPr>
              <w:t>NRSV / NRSVue</w:t>
            </w:r>
          </w:p>
        </w:tc>
        <w:tc>
          <w:tcPr>
            <w:tcW w:type="dxa" w:w="2160"/>
            <w:vAlign w:val="center"/>
            <w:tcMar>
              <w:top w:w="85" w:type="dxa"/>
              <w:left w:w="85" w:type="dxa"/>
              <w:bottom w:w="85" w:type="dxa"/>
              <w:right w:w="85" w:type="dxa"/>
            </w:tcMar>
            <w:shd w:fill="F6F6F6"/>
          </w:tcPr>
          <w:p>
            <w:pPr>
              <w:spacing w:before="40" w:after="40"/>
            </w:pPr>
            <w:r>
              <w:rPr>
                <w:sz w:val="20"/>
              </w:rPr>
              <w:t>Seven to an anointed prince; for sixty-two rebuilding.</w:t>
            </w:r>
          </w:p>
        </w:tc>
        <w:tc>
          <w:tcPr>
            <w:tcW w:type="dxa" w:w="2304"/>
            <w:vAlign w:val="center"/>
            <w:tcMar>
              <w:top w:w="85" w:type="dxa"/>
              <w:left w:w="85" w:type="dxa"/>
              <w:bottom w:w="85" w:type="dxa"/>
              <w:right w:w="85" w:type="dxa"/>
            </w:tcMar>
            <w:shd w:fill="F6F6F6"/>
          </w:tcPr>
          <w:p>
            <w:pPr>
              <w:spacing w:before="40" w:after="40"/>
            </w:pPr>
            <w:r>
              <w:rPr>
                <w:sz w:val="20"/>
              </w:rPr>
              <w:t>An anointed one cut off; nothing.</w:t>
            </w:r>
          </w:p>
        </w:tc>
        <w:tc>
          <w:tcPr>
            <w:tcW w:type="dxa" w:w="4104"/>
            <w:vAlign w:val="center"/>
            <w:tcMar>
              <w:top w:w="85" w:type="dxa"/>
              <w:left w:w="85" w:type="dxa"/>
              <w:bottom w:w="85" w:type="dxa"/>
              <w:right w:w="85" w:type="dxa"/>
            </w:tcMar>
            <w:shd w:fill="F6F6F6"/>
          </w:tcPr>
          <w:p>
            <w:pPr>
              <w:spacing w:before="40" w:after="40"/>
            </w:pPr>
            <w:r>
              <w:rPr>
                <w:sz w:val="20"/>
              </w:rPr>
              <w:t>NRSVue’s “in their place” in verse 27 is conjectural; its notes disclose the Hebrew difficulty.</w:t>
            </w:r>
          </w:p>
        </w:tc>
      </w:tr>
      <w:tr>
        <w:trPr>
          <w:cantSplit/>
        </w:trPr>
        <w:tc>
          <w:tcPr>
            <w:tcW w:type="dxa" w:w="1224"/>
            <w:vAlign w:val="center"/>
            <w:tcMar>
              <w:top w:w="85" w:type="dxa"/>
              <w:left w:w="85" w:type="dxa"/>
              <w:bottom w:w="85" w:type="dxa"/>
              <w:right w:w="85" w:type="dxa"/>
            </w:tcMar>
          </w:tcPr>
          <w:p>
            <w:pPr>
              <w:spacing w:before="40" w:after="40"/>
            </w:pPr>
            <w:r>
              <w:rPr>
                <w:sz w:val="20"/>
              </w:rPr>
              <w:t>NET</w:t>
            </w:r>
          </w:p>
        </w:tc>
        <w:tc>
          <w:tcPr>
            <w:tcW w:type="dxa" w:w="2160"/>
            <w:vAlign w:val="center"/>
            <w:tcMar>
              <w:top w:w="85" w:type="dxa"/>
              <w:left w:w="85" w:type="dxa"/>
              <w:bottom w:w="85" w:type="dxa"/>
              <w:right w:w="85" w:type="dxa"/>
            </w:tcMar>
          </w:tcPr>
          <w:p>
            <w:pPr>
              <w:spacing w:before="40" w:after="40"/>
            </w:pPr>
            <w:r>
              <w:rPr>
                <w:sz w:val="20"/>
              </w:rPr>
              <w:t>Seven and sixty-two combined, against the Masoretic division.</w:t>
            </w:r>
          </w:p>
        </w:tc>
        <w:tc>
          <w:tcPr>
            <w:tcW w:type="dxa" w:w="2304"/>
            <w:vAlign w:val="center"/>
            <w:tcMar>
              <w:top w:w="85" w:type="dxa"/>
              <w:left w:w="85" w:type="dxa"/>
              <w:bottom w:w="85" w:type="dxa"/>
              <w:right w:w="85" w:type="dxa"/>
            </w:tcMar>
          </w:tcPr>
          <w:p>
            <w:pPr>
              <w:spacing w:before="40" w:after="40"/>
            </w:pPr>
            <w:r>
              <w:rPr>
                <w:sz w:val="20"/>
              </w:rPr>
              <w:t>Anointed one; cut off; nothing.</w:t>
            </w:r>
          </w:p>
        </w:tc>
        <w:tc>
          <w:tcPr>
            <w:tcW w:type="dxa" w:w="4104"/>
            <w:vAlign w:val="center"/>
            <w:tcMar>
              <w:top w:w="85" w:type="dxa"/>
              <w:left w:w="85" w:type="dxa"/>
              <w:bottom w:w="85" w:type="dxa"/>
              <w:right w:w="85" w:type="dxa"/>
            </w:tcMar>
          </w:tcPr>
          <w:p>
            <w:pPr>
              <w:spacing w:before="40" w:after="40"/>
            </w:pPr>
            <w:r>
              <w:rPr>
                <w:sz w:val="20"/>
              </w:rPr>
              <w:t>Notes openly acknowledge the accent and syntax issue, a model of editorial transparency.</w:t>
            </w:r>
          </w:p>
        </w:tc>
      </w:tr>
      <w:tr>
        <w:trPr>
          <w:cantSplit/>
        </w:trPr>
        <w:tc>
          <w:tcPr>
            <w:tcW w:type="dxa" w:w="1224"/>
            <w:vAlign w:val="center"/>
            <w:tcMar>
              <w:top w:w="85" w:type="dxa"/>
              <w:left w:w="85" w:type="dxa"/>
              <w:bottom w:w="85" w:type="dxa"/>
              <w:right w:w="85" w:type="dxa"/>
            </w:tcMar>
            <w:shd w:fill="F6F6F6"/>
          </w:tcPr>
          <w:p>
            <w:pPr>
              <w:spacing w:before="40" w:after="40"/>
            </w:pPr>
            <w:r>
              <w:rPr>
                <w:sz w:val="20"/>
              </w:rPr>
              <w:t>CJB</w:t>
            </w:r>
          </w:p>
        </w:tc>
        <w:tc>
          <w:tcPr>
            <w:tcW w:type="dxa" w:w="2160"/>
            <w:vAlign w:val="center"/>
            <w:tcMar>
              <w:top w:w="85" w:type="dxa"/>
              <w:left w:w="85" w:type="dxa"/>
              <w:bottom w:w="85" w:type="dxa"/>
              <w:right w:w="85" w:type="dxa"/>
            </w:tcMar>
            <w:shd w:fill="F6F6F6"/>
          </w:tcPr>
          <w:p>
            <w:pPr>
              <w:spacing w:before="40" w:after="40"/>
            </w:pPr>
            <w:r>
              <w:rPr>
                <w:sz w:val="20"/>
              </w:rPr>
              <w:t>Seven until an anointed prince, followed by sixty-two.</w:t>
            </w:r>
          </w:p>
        </w:tc>
        <w:tc>
          <w:tcPr>
            <w:tcW w:type="dxa" w:w="2304"/>
            <w:vAlign w:val="center"/>
            <w:tcMar>
              <w:top w:w="85" w:type="dxa"/>
              <w:left w:w="85" w:type="dxa"/>
              <w:bottom w:w="85" w:type="dxa"/>
              <w:right w:w="85" w:type="dxa"/>
            </w:tcMar>
            <w:shd w:fill="F6F6F6"/>
          </w:tcPr>
          <w:p>
            <w:pPr>
              <w:spacing w:before="40" w:after="40"/>
            </w:pPr>
            <w:r>
              <w:rPr>
                <w:sz w:val="20"/>
              </w:rPr>
              <w:t>Mashiach in verse 26; leaders in verse 27; for half the week.</w:t>
            </w:r>
          </w:p>
        </w:tc>
        <w:tc>
          <w:tcPr>
            <w:tcW w:type="dxa" w:w="4104"/>
            <w:vAlign w:val="center"/>
            <w:tcMar>
              <w:top w:w="85" w:type="dxa"/>
              <w:left w:w="85" w:type="dxa"/>
              <w:bottom w:w="85" w:type="dxa"/>
              <w:right w:w="85" w:type="dxa"/>
            </w:tcMar>
            <w:shd w:fill="F6F6F6"/>
          </w:tcPr>
          <w:p>
            <w:pPr>
              <w:spacing w:before="40" w:after="40"/>
            </w:pPr>
            <w:r>
              <w:rPr>
                <w:sz w:val="20"/>
              </w:rPr>
              <w:t>Transliteration is not proof of an eschatological title; “leaders” exposes another choice in rabbim.</w:t>
            </w:r>
          </w:p>
        </w:tc>
      </w:tr>
      <w:tr>
        <w:trPr>
          <w:cantSplit/>
        </w:trPr>
        <w:tc>
          <w:tcPr>
            <w:tcW w:type="dxa" w:w="1224"/>
            <w:vAlign w:val="center"/>
            <w:tcMar>
              <w:top w:w="85" w:type="dxa"/>
              <w:left w:w="85" w:type="dxa"/>
              <w:bottom w:w="85" w:type="dxa"/>
              <w:right w:w="85" w:type="dxa"/>
            </w:tcMar>
          </w:tcPr>
          <w:p>
            <w:pPr>
              <w:spacing w:before="40" w:after="40"/>
            </w:pPr>
            <w:r>
              <w:rPr>
                <w:sz w:val="20"/>
              </w:rPr>
              <w:t>NABRE</w:t>
            </w:r>
          </w:p>
        </w:tc>
        <w:tc>
          <w:tcPr>
            <w:tcW w:type="dxa" w:w="2160"/>
            <w:vAlign w:val="center"/>
            <w:tcMar>
              <w:top w:w="85" w:type="dxa"/>
              <w:left w:w="85" w:type="dxa"/>
              <w:bottom w:w="85" w:type="dxa"/>
              <w:right w:w="85" w:type="dxa"/>
            </w:tcMar>
          </w:tcPr>
          <w:p>
            <w:pPr>
              <w:spacing w:before="40" w:after="40"/>
            </w:pPr>
            <w:r>
              <w:rPr>
                <w:sz w:val="20"/>
              </w:rPr>
              <w:t>Split chronology with two anointed figures.</w:t>
            </w:r>
          </w:p>
        </w:tc>
        <w:tc>
          <w:tcPr>
            <w:tcW w:type="dxa" w:w="2304"/>
            <w:vAlign w:val="center"/>
            <w:tcMar>
              <w:top w:w="85" w:type="dxa"/>
              <w:left w:w="85" w:type="dxa"/>
              <w:bottom w:w="85" w:type="dxa"/>
              <w:right w:w="85" w:type="dxa"/>
            </w:tcMar>
          </w:tcPr>
          <w:p>
            <w:pPr>
              <w:spacing w:before="40" w:after="40"/>
            </w:pPr>
            <w:r>
              <w:rPr>
                <w:sz w:val="20"/>
              </w:rPr>
              <w:t>Notes favor Cyrus/Joshua then Onias III and Antiochus.</w:t>
            </w:r>
          </w:p>
        </w:tc>
        <w:tc>
          <w:tcPr>
            <w:tcW w:type="dxa" w:w="4104"/>
            <w:vAlign w:val="center"/>
            <w:tcMar>
              <w:top w:w="85" w:type="dxa"/>
              <w:left w:w="85" w:type="dxa"/>
              <w:bottom w:w="85" w:type="dxa"/>
              <w:right w:w="85" w:type="dxa"/>
            </w:tcMar>
          </w:tcPr>
          <w:p>
            <w:pPr>
              <w:spacing w:before="40" w:after="40"/>
            </w:pPr>
            <w:r>
              <w:rPr>
                <w:sz w:val="20"/>
              </w:rPr>
              <w:t>Helpful historical reading, but the annotations are interpretation, not additional inspired words.</w:t>
            </w:r>
          </w:p>
        </w:tc>
      </w:tr>
    </w:tbl>
    <w:p>
      <w:pPr>
        <w:keepNext w:val="0"/>
      </w:pPr>
      <w:r/>
    </w:p>
    <w:p>
      <w:pPr>
        <w:pStyle w:val="Heading1"/>
      </w:pPr>
      <w:r>
        <w:t>4. Candidate identities and historical fit</w:t>
      </w:r>
    </w:p>
    <w:p>
      <w:pPr>
        <w:keepNext w:val="0"/>
      </w:pPr>
      <w:r>
        <w:t>Cyrus is a particularly strong candidate for the first anointed ruler in a split reading: Isaiah 45:1 explicitly calls him God’s anointed, and 44:28 connects him with Jerusalem and the temple. Joshua son of Jehozadak is a credible priestly alternative in the restoration setting (Haggai 1; Zechariah 3). Zerubbabel has Davidic and restoration associations (Haggai 2:20–23; Zechariah 4), but is not called mashiaḥ there; his candidacy is less direct. These are alternatives for the first figure, not three people the verse simultaneously names.</w:t>
      </w:r>
    </w:p>
    <w:p>
      <w:pPr>
        <w:keepNext w:val="0"/>
      </w:pPr>
      <w:r>
        <w:t>Onias III fits a later anointed priest violently removed before the sanctuary crisis. Second Maccabees 4:30–38 records his murder through Andronicus at Menelaus’s instigation. It does not say Antiochus personally ordered the murder; it depicts him responding against Andronicus. The death is commonly placed around 171/170 BC, after Onias’s earlier removal from office. Daniel 11:22’s covenant prince provides a possible internal correspondence. The exact year is not a date given in Daniel.</w:t>
      </w:r>
      <w:r>
        <w:rPr>
          <w:vertAlign w:val="superscript"/>
        </w:rPr>
        <w:footnoteReference w:id="9"/>
      </w:r>
    </w:p>
    <w:p>
      <w:pPr>
        <w:keepNext w:val="0"/>
      </w:pPr>
      <w:r>
        <w:t>Antiochus IV and his forces fit the alliance with Hellenizing Judeans, attack on Jerusalem, suppression of sacrifice and pagan profanation recorded in 1 Maccabees 1. The narrative describes plunder, fire and destruction of houses and walls, as well as sanctuary desecration. This is stronger evidence than merely saying that “destroy” means moral corruption. It still falls short of the temple’s total demolition by Rome in AD 70.</w:t>
      </w:r>
      <w:r>
        <w:rPr>
          <w:vertAlign w:val="superscript"/>
        </w:rPr>
        <w:footnoteReference w:id="10"/>
      </w:r>
    </w:p>
    <w:p>
      <w:pPr>
        <w:keepNext w:val="0"/>
      </w:pPr>
      <w:r>
        <w:t>Jesus fits anointed kingship, a violent death and Christian atonement theology; his death precedes Jerusalem’s Roman destruction. Those are real correspondences. But no verse calls the cut-off figure sinless, describes crucifixion, explicitly connects that death with the atonement objective, or names Jesus. The Gospels’ clear applications of other messianic passages cannot be transferred to this one without argument.</w:t>
      </w:r>
    </w:p>
    <w:p>
      <w:pPr>
        <w:keepNext w:val="0"/>
      </w:pPr>
      <w:r>
        <w:t>Titus and the Roman armies offer the most concrete match for city-and-sanctuary destruction in AD 70. A first-century priest such as Ananus, murdered in AD 68, is another proposed cut-off figure. Josephus treats Ananus’s death as a decisive prelude to the city’s ruin; he does not explicitly say Ananus is Daniel 9:26’s anointed one. Rashi’s Agrippa identification is evidence of reception, not a secure historical solution: Agrippa I died in AD 44, while Agrippa II survived AD 70.</w:t>
      </w:r>
      <w:r>
        <w:rPr>
          <w:vertAlign w:val="superscript"/>
        </w:rPr>
        <w:footnoteReference w:id="11"/>
      </w:r>
    </w:p>
    <w:p>
      <w:pPr>
        <w:keepNext w:val="0"/>
      </w:pPr>
      <w:r>
        <w:t>The futurist model identifies the cut-off figure with Jesus, the destroying people with Romans, and a coming ruler with a final Antichrist. It takes the last week as future and often understands the covenant as an agreement allowing renewed temple worship. This explains why verse 24’s fullness is not exhausted in the first century, but requires an unstated long interval and several identifications supplied from a larger prophetic system.</w:t>
      </w:r>
    </w:p>
    <w:p>
      <w:pPr>
        <w:keepNext w:val="0"/>
      </w:pPr>
      <w:r>
        <w:t>More schematic Christian models begin with Cyrus or the prophetic restoration word and understand the weeks as ordered redemptive periods rather than a modern countdown. They preserve the book’s wider context more naturally than selecting a start solely for its numerical result. Their cost is reduced chronological precision and, sometimes, insufficient explanation of why the text distinguishes seven from sixty-two.</w:t>
      </w:r>
    </w:p>
    <w:p>
      <w:pPr>
        <w:pStyle w:val="Heading1"/>
      </w:pPr>
      <w:r>
        <w:t>5. Recalculating the years</w:t>
      </w:r>
    </w:p>
    <w:p>
      <w:pPr>
        <w:pStyle w:val="Heading2"/>
      </w:pPr>
      <w:r>
        <w:t>Method and conventions</w:t>
      </w:r>
    </w:p>
    <w:p>
      <w:pPr>
        <w:keepNext w:val="0"/>
      </w:pPr>
      <w:r>
        <w:t>The attached calculation file uses elapsed year anniversaries, not a year zero in civil BC/AD notation. Internally, 1 BC is astronomical year 0; 458 BC is −457. Therefore 483 years after 458 BC is AD 26, not AD 25. Inclusive counting of named years may move an endpoint by one year; it cannot solve a discrepancy of sixty-seven or eighty years. Month and day precision is unavailable for most proposed starting words.</w:t>
      </w:r>
    </w:p>
    <w:p>
      <w:pPr>
        <w:keepNext w:val="0"/>
      </w:pPr>
      <w:r>
        <w:t>The table lists ordinary calendar-year results before any prophetic-year conversion. Historical ranges are kept visible: Babylon’s fall in 539 BC is not identical with the return in 538/537; a temple completion is not itself a new decree. The alternative regnal dates for Ezra and Nehemiah reflect accession and New Year reckoning disputes, not two independently dated commands. These are candidate inputs, not equally strong historical assertions.</w:t>
      </w:r>
    </w:p>
    <w:p>
      <w:pPr>
        <w:pStyle w:val="Heading2"/>
      </w:pPr>
      <w:r>
        <w:t>Why each start is proposed</w:t>
      </w:r>
    </w:p>
    <w:p>
      <w:pPr>
        <w:keepNext w:val="0"/>
      </w:pPr>
      <w:r>
        <w:t>Jeremiah: Daniel explicitly reads his word, making the prophetic restoration promise the best contextual class of starting event. Jeremiah 25 belongs to 605 BC; the letter in chapter 29 follows the 597 deportation. Restoration language near Jerusalem’s destruction suggests 587/586 in some readings, but there is no verse labeling that moment “day one of the seventy weeks.” An undated restoration oracle must not acquire a precise year merely because a calculation needs it.</w:t>
      </w:r>
    </w:p>
    <w:p>
      <w:pPr>
        <w:keepNext w:val="0"/>
      </w:pPr>
      <w:r>
        <w:t>Gabriel’s word in Daniel 9:23: the immediate verbal echo is strong and places a candidate around 539/538 BC. If this starts seven weeks to Cyrus, however, Cyrus is already contemporary with the narrative setting, so a simple sequential Cyrus model cannot use both claims without adjustment. This is a real difficulty for selecting the immediately preceding word.</w:t>
      </w:r>
    </w:p>
    <w:p>
      <w:pPr>
        <w:keepNext w:val="0"/>
      </w:pPr>
      <w:r>
        <w:t>Cyrus: Ezra 1 and 6 preserve authorization to rebuild the temple, while Isaiah 44:28 and 45:13 connect Cyrus to city restoration. The objection that Cyrus concerns only the temple is too absolute; the counter-objection is that 483 ordinary years from 538 BC ends in 55 BC, well before Jesus. Darius I’s reaffirmation in Ezra 6, around 520/519, still ends decades too early. The temple’s completion around 515 is an endpoint of construction, not a clearly new starting decree.</w:t>
      </w:r>
      <w:r>
        <w:rPr>
          <w:vertAlign w:val="superscript"/>
        </w:rPr>
        <w:footnoteReference w:id="12"/>
      </w:r>
    </w:p>
    <w:p>
      <w:pPr>
        <w:keepNext w:val="0"/>
      </w:pPr>
      <w:r>
        <w:t>Artaxerxes and Ezra: Ezra 7’s authorization in the seventh regnal year, ordinarily 458 BC with 457 advocated under another reckoning, concerns worship, resources, judges and law. It can be understood as restoring the community, but is less expressly about city walls than Nehemiah 2. The resulting AD 26/27 endpoint can be associated with the beginning of Jesus’ ministry only with a defended baptism chronology. Luke 3’s fifteenth year of Tiberius more ordinarily points around AD 28/29; an earlier co-regency reckoning is an additional choice.</w:t>
      </w:r>
    </w:p>
    <w:p>
      <w:pPr>
        <w:keepNext w:val="0"/>
      </w:pPr>
      <w:r>
        <w:t>Artaxerxes and Nehemiah: Nehemiah 2 in the twentieth year, usually 445 BC or 444 under alternative reckoning, explicitly concerns rebuilding the ruined city and its walls. That is its chief strength. Ordinary 483-year counting ends in AD 39/40, too late for Jesus’ ministry. The famous AD 32/33 result therefore depends on a shorter, 360-day “year,” not simply adding 483 years to the decree. An older 455 BC redating can yield AD 29 but is not a secure alternative to established Persian regnal chronology.</w:t>
      </w:r>
    </w:p>
    <w:p>
      <w:pPr>
        <w:pStyle w:val="Heading2"/>
      </w:pPr>
      <w:r>
        <w:t>The 360-day conversion</w:t>
      </w:r>
    </w:p>
    <w:p>
      <w:pPr>
        <w:keepNext w:val="0"/>
      </w:pPr>
      <w:r>
        <w:t>The multiplication is correct: 69 × 7 = 483; 483 × 360 = 173,880 days. Dividing by the mean Gregorian year, 365.2425 days, gives about 476.0673 years. Thus the procedure removes nearly seven ordinary years. It is not a harmless way of expressing the same 483 historical years.</w:t>
      </w:r>
    </w:p>
    <w:p>
      <w:pPr>
        <w:keepNext w:val="0"/>
      </w:pPr>
      <w:r>
        <w:t>Genesis’s flood dates and Revelation’s 42 months/1,260 days support idealized thirty-day months in particular literary settings. They do not instruct the reader to convert Daniel 9’s entire span into 360-day years. Ancient Jewish calendars included intercalation to keep festivals in their seasons. A schematic prophetic calendar is possible as an interpretive proposal; its extension across 483 years must be justified rather than assumed from the word “week.”</w:t>
      </w:r>
      <w:r>
        <w:rPr>
          <w:vertAlign w:val="superscript"/>
        </w:rPr>
        <w:footnoteReference w:id="13"/>
      </w:r>
    </w:p>
    <w:p>
      <w:pPr>
        <w:pStyle w:val="Heading2"/>
      </w:pPr>
      <w:r>
        <w:t>The alternative’s arithmetic must also work</w:t>
      </w:r>
    </w:p>
    <w:p>
      <w:pPr>
        <w:keepNext w:val="0"/>
      </w:pPr>
      <w:r>
        <w:t>The common Onias reconstruction places the first forty-nine years from 587 to 538 BC. That fits numerically. But 538 to 171 is only 367 years, not 434: a sixty-seven-year shortfall. From 587 to 164 is 423, not 490. Starting in 605 gives 441 years to 164, still forty-nine short of 490. These are not one-year inclusive-counting issues.</w:t>
      </w:r>
    </w:p>
    <w:p>
      <w:pPr>
        <w:keepNext w:val="0"/>
      </w:pPr>
      <w:r>
        <w:t>Proposed responses include schematic history, compressed Persian chronology, or overlapping periods. An overlap variant counts 605 to 171 as 434 years, with the first forty-nine years placed within that larger span, then adds a final seven to 164. This improves the historical arithmetic, but the elapsed total is 441 years; the forty-nine are counted twice in the seventy-week structure. It requires a non-successive arrangement rather than demonstrating 490 consecutive measured years. The final crisis around 171–164 is approximately seven years, but the desecrated altar of 1 Maccabees 1:59 and its restoration in 4:52–54 are separated by three years on the stated dates, not exactly three and a half. Earlier cessation before the altar installation is possible but needs evidence.</w:t>
      </w:r>
      <w:r>
        <w:rPr>
          <w:vertAlign w:val="superscript"/>
        </w:rPr>
        <w:footnoteReference w:id="14"/>
      </w:r>
    </w:p>
    <w:p>
      <w:pPr>
        <w:keepNext w:val="0"/>
      </w:pPr>
      <w:r>
        <w:t>Consequently the historical reading is strongest as an account of the named kinds of events and the literary sequence, not as a proven stopwatch. The Christian reading cannot demand exact years from this alternative while excusing its own gap, and the alternative cannot dismiss Christian approximation while concealing its own larger chronological adjustment.</w:t>
      </w:r>
    </w:p>
    <w:p>
      <w:pPr>
        <w:pStyle w:val="Heading2"/>
      </w:pPr>
      <w:r>
        <w:t>Ordinary-year calculation table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960"/>
        <w:gridCol w:w="1944"/>
        <w:gridCol w:w="1944"/>
        <w:gridCol w:w="1944"/>
      </w:tblGrid>
      <w:tr>
        <w:trPr>
          <w:tblHeader/>
          <w:cantSplit/>
        </w:trPr>
        <w:tc>
          <w:tcPr>
            <w:tcW w:type="dxa" w:w="3960"/>
            <w:vAlign w:val="center"/>
            <w:tcMar>
              <w:top w:w="85" w:type="dxa"/>
              <w:left w:w="85" w:type="dxa"/>
              <w:bottom w:w="85" w:type="dxa"/>
              <w:right w:w="85" w:type="dxa"/>
            </w:tcMar>
            <w:shd w:fill="404040"/>
          </w:tcPr>
          <w:p>
            <w:pPr>
              <w:spacing w:before="40" w:after="40"/>
            </w:pPr>
            <w:r>
              <w:rPr>
                <w:b/>
                <w:color w:val="FFFFFF"/>
                <w:sz w:val="20"/>
              </w:rPr>
              <w:t>Candidate / start</w:t>
            </w:r>
          </w:p>
        </w:tc>
        <w:tc>
          <w:tcPr>
            <w:tcW w:type="dxa" w:w="1944"/>
            <w:vAlign w:val="center"/>
            <w:tcMar>
              <w:top w:w="85" w:type="dxa"/>
              <w:left w:w="85" w:type="dxa"/>
              <w:bottom w:w="85" w:type="dxa"/>
              <w:right w:w="85" w:type="dxa"/>
            </w:tcMar>
            <w:shd w:fill="404040"/>
          </w:tcPr>
          <w:p>
            <w:pPr>
              <w:spacing w:before="40" w:after="40"/>
            </w:pPr>
            <w:r>
              <w:rPr>
                <w:b/>
                <w:color w:val="FFFFFF"/>
                <w:sz w:val="20"/>
              </w:rPr>
              <w:t>After 49 years</w:t>
            </w:r>
          </w:p>
        </w:tc>
        <w:tc>
          <w:tcPr>
            <w:tcW w:type="dxa" w:w="1944"/>
            <w:vAlign w:val="center"/>
            <w:tcMar>
              <w:top w:w="85" w:type="dxa"/>
              <w:left w:w="85" w:type="dxa"/>
              <w:bottom w:w="85" w:type="dxa"/>
              <w:right w:w="85" w:type="dxa"/>
            </w:tcMar>
            <w:shd w:fill="404040"/>
          </w:tcPr>
          <w:p>
            <w:pPr>
              <w:spacing w:before="40" w:after="40"/>
            </w:pPr>
            <w:r>
              <w:rPr>
                <w:b/>
                <w:color w:val="FFFFFF"/>
                <w:sz w:val="20"/>
              </w:rPr>
              <w:t>After 483 years</w:t>
            </w:r>
          </w:p>
        </w:tc>
        <w:tc>
          <w:tcPr>
            <w:tcW w:type="dxa" w:w="1944"/>
            <w:vAlign w:val="center"/>
            <w:tcMar>
              <w:top w:w="85" w:type="dxa"/>
              <w:left w:w="85" w:type="dxa"/>
              <w:bottom w:w="85" w:type="dxa"/>
              <w:right w:w="85" w:type="dxa"/>
            </w:tcMar>
            <w:shd w:fill="404040"/>
          </w:tcPr>
          <w:p>
            <w:pPr>
              <w:spacing w:before="40" w:after="40"/>
            </w:pPr>
            <w:r>
              <w:rPr>
                <w:b/>
                <w:color w:val="FFFFFF"/>
                <w:sz w:val="20"/>
              </w:rPr>
              <w:t>After 490 years</w:t>
            </w:r>
          </w:p>
        </w:tc>
      </w:tr>
      <w:tr>
        <w:trPr>
          <w:cantSplit/>
        </w:trPr>
        <w:tc>
          <w:tcPr>
            <w:tcW w:type="dxa" w:w="3960"/>
            <w:vAlign w:val="center"/>
            <w:tcMar>
              <w:top w:w="85" w:type="dxa"/>
              <w:left w:w="85" w:type="dxa"/>
              <w:bottom w:w="85" w:type="dxa"/>
              <w:right w:w="85" w:type="dxa"/>
            </w:tcMar>
          </w:tcPr>
          <w:p>
            <w:pPr>
              <w:spacing w:before="40" w:after="40"/>
            </w:pPr>
            <w:r>
              <w:rPr>
                <w:sz w:val="20"/>
              </w:rPr>
              <w:t>Jeremiah 25; 605 BC</w:t>
            </w:r>
          </w:p>
        </w:tc>
        <w:tc>
          <w:tcPr>
            <w:tcW w:type="dxa" w:w="1944"/>
            <w:vAlign w:val="center"/>
            <w:tcMar>
              <w:top w:w="85" w:type="dxa"/>
              <w:left w:w="85" w:type="dxa"/>
              <w:bottom w:w="85" w:type="dxa"/>
              <w:right w:w="85" w:type="dxa"/>
            </w:tcMar>
          </w:tcPr>
          <w:p>
            <w:pPr>
              <w:spacing w:before="40" w:after="40"/>
            </w:pPr>
            <w:r>
              <w:rPr>
                <w:sz w:val="20"/>
              </w:rPr>
              <w:t>556 BC</w:t>
            </w:r>
          </w:p>
        </w:tc>
        <w:tc>
          <w:tcPr>
            <w:tcW w:type="dxa" w:w="1944"/>
            <w:vAlign w:val="center"/>
            <w:tcMar>
              <w:top w:w="85" w:type="dxa"/>
              <w:left w:w="85" w:type="dxa"/>
              <w:bottom w:w="85" w:type="dxa"/>
              <w:right w:w="85" w:type="dxa"/>
            </w:tcMar>
          </w:tcPr>
          <w:p>
            <w:pPr>
              <w:spacing w:before="40" w:after="40"/>
            </w:pPr>
            <w:r>
              <w:rPr>
                <w:sz w:val="20"/>
              </w:rPr>
              <w:t>122 BC</w:t>
            </w:r>
          </w:p>
        </w:tc>
        <w:tc>
          <w:tcPr>
            <w:tcW w:type="dxa" w:w="1944"/>
            <w:vAlign w:val="center"/>
            <w:tcMar>
              <w:top w:w="85" w:type="dxa"/>
              <w:left w:w="85" w:type="dxa"/>
              <w:bottom w:w="85" w:type="dxa"/>
              <w:right w:w="85" w:type="dxa"/>
            </w:tcMar>
          </w:tcPr>
          <w:p>
            <w:pPr>
              <w:spacing w:before="40" w:after="40"/>
            </w:pPr>
            <w:r>
              <w:rPr>
                <w:sz w:val="20"/>
              </w:rPr>
              <w:t>115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Jeremiah 29 after deportation; 597 BC</w:t>
            </w:r>
          </w:p>
        </w:tc>
        <w:tc>
          <w:tcPr>
            <w:tcW w:type="dxa" w:w="1944"/>
            <w:vAlign w:val="center"/>
            <w:tcMar>
              <w:top w:w="85" w:type="dxa"/>
              <w:left w:w="85" w:type="dxa"/>
              <w:bottom w:w="85" w:type="dxa"/>
              <w:right w:w="85" w:type="dxa"/>
            </w:tcMar>
            <w:shd w:fill="F6F6F6"/>
          </w:tcPr>
          <w:p>
            <w:pPr>
              <w:spacing w:before="40" w:after="40"/>
            </w:pPr>
            <w:r>
              <w:rPr>
                <w:sz w:val="20"/>
              </w:rPr>
              <w:t>548 BC</w:t>
            </w:r>
          </w:p>
        </w:tc>
        <w:tc>
          <w:tcPr>
            <w:tcW w:type="dxa" w:w="1944"/>
            <w:vAlign w:val="center"/>
            <w:tcMar>
              <w:top w:w="85" w:type="dxa"/>
              <w:left w:w="85" w:type="dxa"/>
              <w:bottom w:w="85" w:type="dxa"/>
              <w:right w:w="85" w:type="dxa"/>
            </w:tcMar>
            <w:shd w:fill="F6F6F6"/>
          </w:tcPr>
          <w:p>
            <w:pPr>
              <w:spacing w:before="40" w:after="40"/>
            </w:pPr>
            <w:r>
              <w:rPr>
                <w:sz w:val="20"/>
              </w:rPr>
              <w:t>114 BC</w:t>
            </w:r>
          </w:p>
        </w:tc>
        <w:tc>
          <w:tcPr>
            <w:tcW w:type="dxa" w:w="1944"/>
            <w:vAlign w:val="center"/>
            <w:tcMar>
              <w:top w:w="85" w:type="dxa"/>
              <w:left w:w="85" w:type="dxa"/>
              <w:bottom w:w="85" w:type="dxa"/>
              <w:right w:w="85" w:type="dxa"/>
            </w:tcMar>
            <w:shd w:fill="F6F6F6"/>
          </w:tcPr>
          <w:p>
            <w:pPr>
              <w:spacing w:before="40" w:after="40"/>
            </w:pPr>
            <w:r>
              <w:rPr>
                <w:sz w:val="20"/>
              </w:rPr>
              <w:t>107 BC</w:t>
            </w:r>
          </w:p>
        </w:tc>
      </w:tr>
      <w:tr>
        <w:trPr>
          <w:cantSplit/>
        </w:trPr>
        <w:tc>
          <w:tcPr>
            <w:tcW w:type="dxa" w:w="3960"/>
            <w:vAlign w:val="center"/>
            <w:tcMar>
              <w:top w:w="85" w:type="dxa"/>
              <w:left w:w="85" w:type="dxa"/>
              <w:bottom w:w="85" w:type="dxa"/>
              <w:right w:w="85" w:type="dxa"/>
            </w:tcMar>
          </w:tcPr>
          <w:p>
            <w:pPr>
              <w:spacing w:before="40" w:after="40"/>
            </w:pPr>
            <w:r>
              <w:rPr>
                <w:sz w:val="20"/>
              </w:rPr>
              <w:t>Jeremiah era alternative; 594 BC</w:t>
            </w:r>
          </w:p>
        </w:tc>
        <w:tc>
          <w:tcPr>
            <w:tcW w:type="dxa" w:w="1944"/>
            <w:vAlign w:val="center"/>
            <w:tcMar>
              <w:top w:w="85" w:type="dxa"/>
              <w:left w:w="85" w:type="dxa"/>
              <w:bottom w:w="85" w:type="dxa"/>
              <w:right w:w="85" w:type="dxa"/>
            </w:tcMar>
          </w:tcPr>
          <w:p>
            <w:pPr>
              <w:spacing w:before="40" w:after="40"/>
            </w:pPr>
            <w:r>
              <w:rPr>
                <w:sz w:val="20"/>
              </w:rPr>
              <w:t>545 BC</w:t>
            </w:r>
          </w:p>
        </w:tc>
        <w:tc>
          <w:tcPr>
            <w:tcW w:type="dxa" w:w="1944"/>
            <w:vAlign w:val="center"/>
            <w:tcMar>
              <w:top w:w="85" w:type="dxa"/>
              <w:left w:w="85" w:type="dxa"/>
              <w:bottom w:w="85" w:type="dxa"/>
              <w:right w:w="85" w:type="dxa"/>
            </w:tcMar>
          </w:tcPr>
          <w:p>
            <w:pPr>
              <w:spacing w:before="40" w:after="40"/>
            </w:pPr>
            <w:r>
              <w:rPr>
                <w:sz w:val="20"/>
              </w:rPr>
              <w:t>111 BC</w:t>
            </w:r>
          </w:p>
        </w:tc>
        <w:tc>
          <w:tcPr>
            <w:tcW w:type="dxa" w:w="1944"/>
            <w:vAlign w:val="center"/>
            <w:tcMar>
              <w:top w:w="85" w:type="dxa"/>
              <w:left w:w="85" w:type="dxa"/>
              <w:bottom w:w="85" w:type="dxa"/>
              <w:right w:w="85" w:type="dxa"/>
            </w:tcMar>
          </w:tcPr>
          <w:p>
            <w:pPr>
              <w:spacing w:before="40" w:after="40"/>
            </w:pPr>
            <w:r>
              <w:rPr>
                <w:sz w:val="20"/>
              </w:rPr>
              <w:t>104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Jerusalem destruction / restoration word; 587 BC</w:t>
            </w:r>
          </w:p>
        </w:tc>
        <w:tc>
          <w:tcPr>
            <w:tcW w:type="dxa" w:w="1944"/>
            <w:vAlign w:val="center"/>
            <w:tcMar>
              <w:top w:w="85" w:type="dxa"/>
              <w:left w:w="85" w:type="dxa"/>
              <w:bottom w:w="85" w:type="dxa"/>
              <w:right w:w="85" w:type="dxa"/>
            </w:tcMar>
            <w:shd w:fill="F6F6F6"/>
          </w:tcPr>
          <w:p>
            <w:pPr>
              <w:spacing w:before="40" w:after="40"/>
            </w:pPr>
            <w:r>
              <w:rPr>
                <w:sz w:val="20"/>
              </w:rPr>
              <w:t>538 BC</w:t>
            </w:r>
          </w:p>
        </w:tc>
        <w:tc>
          <w:tcPr>
            <w:tcW w:type="dxa" w:w="1944"/>
            <w:vAlign w:val="center"/>
            <w:tcMar>
              <w:top w:w="85" w:type="dxa"/>
              <w:left w:w="85" w:type="dxa"/>
              <w:bottom w:w="85" w:type="dxa"/>
              <w:right w:w="85" w:type="dxa"/>
            </w:tcMar>
            <w:shd w:fill="F6F6F6"/>
          </w:tcPr>
          <w:p>
            <w:pPr>
              <w:spacing w:before="40" w:after="40"/>
            </w:pPr>
            <w:r>
              <w:rPr>
                <w:sz w:val="20"/>
              </w:rPr>
              <w:t>104 BC</w:t>
            </w:r>
          </w:p>
        </w:tc>
        <w:tc>
          <w:tcPr>
            <w:tcW w:type="dxa" w:w="1944"/>
            <w:vAlign w:val="center"/>
            <w:tcMar>
              <w:top w:w="85" w:type="dxa"/>
              <w:left w:w="85" w:type="dxa"/>
              <w:bottom w:w="85" w:type="dxa"/>
              <w:right w:w="85" w:type="dxa"/>
            </w:tcMar>
            <w:shd w:fill="F6F6F6"/>
          </w:tcPr>
          <w:p>
            <w:pPr>
              <w:spacing w:before="40" w:after="40"/>
            </w:pPr>
            <w:r>
              <w:rPr>
                <w:sz w:val="20"/>
              </w:rPr>
              <w:t>97 BC</w:t>
            </w:r>
          </w:p>
        </w:tc>
      </w:tr>
      <w:tr>
        <w:trPr>
          <w:cantSplit/>
        </w:trPr>
        <w:tc>
          <w:tcPr>
            <w:tcW w:type="dxa" w:w="3960"/>
            <w:vAlign w:val="center"/>
            <w:tcMar>
              <w:top w:w="85" w:type="dxa"/>
              <w:left w:w="85" w:type="dxa"/>
              <w:bottom w:w="85" w:type="dxa"/>
              <w:right w:w="85" w:type="dxa"/>
            </w:tcMar>
          </w:tcPr>
          <w:p>
            <w:pPr>
              <w:spacing w:before="40" w:after="40"/>
            </w:pPr>
            <w:r>
              <w:rPr>
                <w:sz w:val="20"/>
              </w:rPr>
              <w:t>Alternative destruction year; 586 BC</w:t>
            </w:r>
          </w:p>
        </w:tc>
        <w:tc>
          <w:tcPr>
            <w:tcW w:type="dxa" w:w="1944"/>
            <w:vAlign w:val="center"/>
            <w:tcMar>
              <w:top w:w="85" w:type="dxa"/>
              <w:left w:w="85" w:type="dxa"/>
              <w:bottom w:w="85" w:type="dxa"/>
              <w:right w:w="85" w:type="dxa"/>
            </w:tcMar>
          </w:tcPr>
          <w:p>
            <w:pPr>
              <w:spacing w:before="40" w:after="40"/>
            </w:pPr>
            <w:r>
              <w:rPr>
                <w:sz w:val="20"/>
              </w:rPr>
              <w:t>537 BC</w:t>
            </w:r>
          </w:p>
        </w:tc>
        <w:tc>
          <w:tcPr>
            <w:tcW w:type="dxa" w:w="1944"/>
            <w:vAlign w:val="center"/>
            <w:tcMar>
              <w:top w:w="85" w:type="dxa"/>
              <w:left w:w="85" w:type="dxa"/>
              <w:bottom w:w="85" w:type="dxa"/>
              <w:right w:w="85" w:type="dxa"/>
            </w:tcMar>
          </w:tcPr>
          <w:p>
            <w:pPr>
              <w:spacing w:before="40" w:after="40"/>
            </w:pPr>
            <w:r>
              <w:rPr>
                <w:sz w:val="20"/>
              </w:rPr>
              <w:t>103 BC</w:t>
            </w:r>
          </w:p>
        </w:tc>
        <w:tc>
          <w:tcPr>
            <w:tcW w:type="dxa" w:w="1944"/>
            <w:vAlign w:val="center"/>
            <w:tcMar>
              <w:top w:w="85" w:type="dxa"/>
              <w:left w:w="85" w:type="dxa"/>
              <w:bottom w:w="85" w:type="dxa"/>
              <w:right w:w="85" w:type="dxa"/>
            </w:tcMar>
          </w:tcPr>
          <w:p>
            <w:pPr>
              <w:spacing w:before="40" w:after="40"/>
            </w:pPr>
            <w:r>
              <w:rPr>
                <w:sz w:val="20"/>
              </w:rPr>
              <w:t>96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Babylon falls / Gabriel context; 539 BC</w:t>
            </w:r>
          </w:p>
        </w:tc>
        <w:tc>
          <w:tcPr>
            <w:tcW w:type="dxa" w:w="1944"/>
            <w:vAlign w:val="center"/>
            <w:tcMar>
              <w:top w:w="85" w:type="dxa"/>
              <w:left w:w="85" w:type="dxa"/>
              <w:bottom w:w="85" w:type="dxa"/>
              <w:right w:w="85" w:type="dxa"/>
            </w:tcMar>
            <w:shd w:fill="F6F6F6"/>
          </w:tcPr>
          <w:p>
            <w:pPr>
              <w:spacing w:before="40" w:after="40"/>
            </w:pPr>
            <w:r>
              <w:rPr>
                <w:sz w:val="20"/>
              </w:rPr>
              <w:t>490 BC</w:t>
            </w:r>
          </w:p>
        </w:tc>
        <w:tc>
          <w:tcPr>
            <w:tcW w:type="dxa" w:w="1944"/>
            <w:vAlign w:val="center"/>
            <w:tcMar>
              <w:top w:w="85" w:type="dxa"/>
              <w:left w:w="85" w:type="dxa"/>
              <w:bottom w:w="85" w:type="dxa"/>
              <w:right w:w="85" w:type="dxa"/>
            </w:tcMar>
            <w:shd w:fill="F6F6F6"/>
          </w:tcPr>
          <w:p>
            <w:pPr>
              <w:spacing w:before="40" w:after="40"/>
            </w:pPr>
            <w:r>
              <w:rPr>
                <w:sz w:val="20"/>
              </w:rPr>
              <w:t>56 BC</w:t>
            </w:r>
          </w:p>
        </w:tc>
        <w:tc>
          <w:tcPr>
            <w:tcW w:type="dxa" w:w="1944"/>
            <w:vAlign w:val="center"/>
            <w:tcMar>
              <w:top w:w="85" w:type="dxa"/>
              <w:left w:w="85" w:type="dxa"/>
              <w:bottom w:w="85" w:type="dxa"/>
              <w:right w:w="85" w:type="dxa"/>
            </w:tcMar>
            <w:shd w:fill="F6F6F6"/>
          </w:tcPr>
          <w:p>
            <w:pPr>
              <w:spacing w:before="40" w:after="40"/>
            </w:pPr>
            <w:r>
              <w:rPr>
                <w:sz w:val="20"/>
              </w:rPr>
              <w:t>49 BC</w:t>
            </w:r>
          </w:p>
        </w:tc>
      </w:tr>
      <w:tr>
        <w:trPr>
          <w:cantSplit/>
        </w:trPr>
        <w:tc>
          <w:tcPr>
            <w:tcW w:type="dxa" w:w="3960"/>
            <w:vAlign w:val="center"/>
            <w:tcMar>
              <w:top w:w="85" w:type="dxa"/>
              <w:left w:w="85" w:type="dxa"/>
              <w:bottom w:w="85" w:type="dxa"/>
              <w:right w:w="85" w:type="dxa"/>
            </w:tcMar>
          </w:tcPr>
          <w:p>
            <w:pPr>
              <w:spacing w:before="40" w:after="40"/>
            </w:pPr>
            <w:r>
              <w:rPr>
                <w:sz w:val="20"/>
              </w:rPr>
              <w:t>Cyrus decree; 538 BC</w:t>
            </w:r>
          </w:p>
        </w:tc>
        <w:tc>
          <w:tcPr>
            <w:tcW w:type="dxa" w:w="1944"/>
            <w:vAlign w:val="center"/>
            <w:tcMar>
              <w:top w:w="85" w:type="dxa"/>
              <w:left w:w="85" w:type="dxa"/>
              <w:bottom w:w="85" w:type="dxa"/>
              <w:right w:w="85" w:type="dxa"/>
            </w:tcMar>
          </w:tcPr>
          <w:p>
            <w:pPr>
              <w:spacing w:before="40" w:after="40"/>
            </w:pPr>
            <w:r>
              <w:rPr>
                <w:sz w:val="20"/>
              </w:rPr>
              <w:t>489 BC</w:t>
            </w:r>
          </w:p>
        </w:tc>
        <w:tc>
          <w:tcPr>
            <w:tcW w:type="dxa" w:w="1944"/>
            <w:vAlign w:val="center"/>
            <w:tcMar>
              <w:top w:w="85" w:type="dxa"/>
              <w:left w:w="85" w:type="dxa"/>
              <w:bottom w:w="85" w:type="dxa"/>
              <w:right w:w="85" w:type="dxa"/>
            </w:tcMar>
          </w:tcPr>
          <w:p>
            <w:pPr>
              <w:spacing w:before="40" w:after="40"/>
            </w:pPr>
            <w:r>
              <w:rPr>
                <w:sz w:val="20"/>
              </w:rPr>
              <w:t>55 BC</w:t>
            </w:r>
          </w:p>
        </w:tc>
        <w:tc>
          <w:tcPr>
            <w:tcW w:type="dxa" w:w="1944"/>
            <w:vAlign w:val="center"/>
            <w:tcMar>
              <w:top w:w="85" w:type="dxa"/>
              <w:left w:w="85" w:type="dxa"/>
              <w:bottom w:w="85" w:type="dxa"/>
              <w:right w:w="85" w:type="dxa"/>
            </w:tcMar>
          </w:tcPr>
          <w:p>
            <w:pPr>
              <w:spacing w:before="40" w:after="40"/>
            </w:pPr>
            <w:r>
              <w:rPr>
                <w:sz w:val="20"/>
              </w:rPr>
              <w:t>48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Cyrus return-year alternative; 537 BC</w:t>
            </w:r>
          </w:p>
        </w:tc>
        <w:tc>
          <w:tcPr>
            <w:tcW w:type="dxa" w:w="1944"/>
            <w:vAlign w:val="center"/>
            <w:tcMar>
              <w:top w:w="85" w:type="dxa"/>
              <w:left w:w="85" w:type="dxa"/>
              <w:bottom w:w="85" w:type="dxa"/>
              <w:right w:w="85" w:type="dxa"/>
            </w:tcMar>
            <w:shd w:fill="F6F6F6"/>
          </w:tcPr>
          <w:p>
            <w:pPr>
              <w:spacing w:before="40" w:after="40"/>
            </w:pPr>
            <w:r>
              <w:rPr>
                <w:sz w:val="20"/>
              </w:rPr>
              <w:t>488 BC</w:t>
            </w:r>
          </w:p>
        </w:tc>
        <w:tc>
          <w:tcPr>
            <w:tcW w:type="dxa" w:w="1944"/>
            <w:vAlign w:val="center"/>
            <w:tcMar>
              <w:top w:w="85" w:type="dxa"/>
              <w:left w:w="85" w:type="dxa"/>
              <w:bottom w:w="85" w:type="dxa"/>
              <w:right w:w="85" w:type="dxa"/>
            </w:tcMar>
            <w:shd w:fill="F6F6F6"/>
          </w:tcPr>
          <w:p>
            <w:pPr>
              <w:spacing w:before="40" w:after="40"/>
            </w:pPr>
            <w:r>
              <w:rPr>
                <w:sz w:val="20"/>
              </w:rPr>
              <w:t>54 BC</w:t>
            </w:r>
          </w:p>
        </w:tc>
        <w:tc>
          <w:tcPr>
            <w:tcW w:type="dxa" w:w="1944"/>
            <w:vAlign w:val="center"/>
            <w:tcMar>
              <w:top w:w="85" w:type="dxa"/>
              <w:left w:w="85" w:type="dxa"/>
              <w:bottom w:w="85" w:type="dxa"/>
              <w:right w:w="85" w:type="dxa"/>
            </w:tcMar>
            <w:shd w:fill="F6F6F6"/>
          </w:tcPr>
          <w:p>
            <w:pPr>
              <w:spacing w:before="40" w:after="40"/>
            </w:pPr>
            <w:r>
              <w:rPr>
                <w:sz w:val="20"/>
              </w:rPr>
              <w:t>47 BC</w:t>
            </w:r>
          </w:p>
        </w:tc>
      </w:tr>
      <w:tr>
        <w:trPr>
          <w:cantSplit/>
        </w:trPr>
        <w:tc>
          <w:tcPr>
            <w:tcW w:type="dxa" w:w="3960"/>
            <w:vAlign w:val="center"/>
            <w:tcMar>
              <w:top w:w="85" w:type="dxa"/>
              <w:left w:w="85" w:type="dxa"/>
              <w:bottom w:w="85" w:type="dxa"/>
              <w:right w:w="85" w:type="dxa"/>
            </w:tcMar>
          </w:tcPr>
          <w:p>
            <w:pPr>
              <w:spacing w:before="40" w:after="40"/>
            </w:pPr>
            <w:r>
              <w:rPr>
                <w:sz w:val="20"/>
              </w:rPr>
              <w:t>Darius reaffirmation; 520 BC</w:t>
            </w:r>
          </w:p>
        </w:tc>
        <w:tc>
          <w:tcPr>
            <w:tcW w:type="dxa" w:w="1944"/>
            <w:vAlign w:val="center"/>
            <w:tcMar>
              <w:top w:w="85" w:type="dxa"/>
              <w:left w:w="85" w:type="dxa"/>
              <w:bottom w:w="85" w:type="dxa"/>
              <w:right w:w="85" w:type="dxa"/>
            </w:tcMar>
          </w:tcPr>
          <w:p>
            <w:pPr>
              <w:spacing w:before="40" w:after="40"/>
            </w:pPr>
            <w:r>
              <w:rPr>
                <w:sz w:val="20"/>
              </w:rPr>
              <w:t>471 BC</w:t>
            </w:r>
          </w:p>
        </w:tc>
        <w:tc>
          <w:tcPr>
            <w:tcW w:type="dxa" w:w="1944"/>
            <w:vAlign w:val="center"/>
            <w:tcMar>
              <w:top w:w="85" w:type="dxa"/>
              <w:left w:w="85" w:type="dxa"/>
              <w:bottom w:w="85" w:type="dxa"/>
              <w:right w:w="85" w:type="dxa"/>
            </w:tcMar>
          </w:tcPr>
          <w:p>
            <w:pPr>
              <w:spacing w:before="40" w:after="40"/>
            </w:pPr>
            <w:r>
              <w:rPr>
                <w:sz w:val="20"/>
              </w:rPr>
              <w:t>37 BC</w:t>
            </w:r>
          </w:p>
        </w:tc>
        <w:tc>
          <w:tcPr>
            <w:tcW w:type="dxa" w:w="1944"/>
            <w:vAlign w:val="center"/>
            <w:tcMar>
              <w:top w:w="85" w:type="dxa"/>
              <w:left w:w="85" w:type="dxa"/>
              <w:bottom w:w="85" w:type="dxa"/>
              <w:right w:w="85" w:type="dxa"/>
            </w:tcMar>
          </w:tcPr>
          <w:p>
            <w:pPr>
              <w:spacing w:before="40" w:after="40"/>
            </w:pPr>
            <w:r>
              <w:rPr>
                <w:sz w:val="20"/>
              </w:rPr>
              <w:t>30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Darius alternative; 519 BC</w:t>
            </w:r>
          </w:p>
        </w:tc>
        <w:tc>
          <w:tcPr>
            <w:tcW w:type="dxa" w:w="1944"/>
            <w:vAlign w:val="center"/>
            <w:tcMar>
              <w:top w:w="85" w:type="dxa"/>
              <w:left w:w="85" w:type="dxa"/>
              <w:bottom w:w="85" w:type="dxa"/>
              <w:right w:w="85" w:type="dxa"/>
            </w:tcMar>
            <w:shd w:fill="F6F6F6"/>
          </w:tcPr>
          <w:p>
            <w:pPr>
              <w:spacing w:before="40" w:after="40"/>
            </w:pPr>
            <w:r>
              <w:rPr>
                <w:sz w:val="20"/>
              </w:rPr>
              <w:t>470 BC</w:t>
            </w:r>
          </w:p>
        </w:tc>
        <w:tc>
          <w:tcPr>
            <w:tcW w:type="dxa" w:w="1944"/>
            <w:vAlign w:val="center"/>
            <w:tcMar>
              <w:top w:w="85" w:type="dxa"/>
              <w:left w:w="85" w:type="dxa"/>
              <w:bottom w:w="85" w:type="dxa"/>
              <w:right w:w="85" w:type="dxa"/>
            </w:tcMar>
            <w:shd w:fill="F6F6F6"/>
          </w:tcPr>
          <w:p>
            <w:pPr>
              <w:spacing w:before="40" w:after="40"/>
            </w:pPr>
            <w:r>
              <w:rPr>
                <w:sz w:val="20"/>
              </w:rPr>
              <w:t>36 BC</w:t>
            </w:r>
          </w:p>
        </w:tc>
        <w:tc>
          <w:tcPr>
            <w:tcW w:type="dxa" w:w="1944"/>
            <w:vAlign w:val="center"/>
            <w:tcMar>
              <w:top w:w="85" w:type="dxa"/>
              <w:left w:w="85" w:type="dxa"/>
              <w:bottom w:w="85" w:type="dxa"/>
              <w:right w:w="85" w:type="dxa"/>
            </w:tcMar>
            <w:shd w:fill="F6F6F6"/>
          </w:tcPr>
          <w:p>
            <w:pPr>
              <w:spacing w:before="40" w:after="40"/>
            </w:pPr>
            <w:r>
              <w:rPr>
                <w:sz w:val="20"/>
              </w:rPr>
              <w:t>29 BC</w:t>
            </w:r>
          </w:p>
        </w:tc>
      </w:tr>
      <w:tr>
        <w:trPr>
          <w:cantSplit/>
        </w:trPr>
        <w:tc>
          <w:tcPr>
            <w:tcW w:type="dxa" w:w="3960"/>
            <w:vAlign w:val="center"/>
            <w:tcMar>
              <w:top w:w="85" w:type="dxa"/>
              <w:left w:w="85" w:type="dxa"/>
              <w:bottom w:w="85" w:type="dxa"/>
              <w:right w:w="85" w:type="dxa"/>
            </w:tcMar>
          </w:tcPr>
          <w:p>
            <w:pPr>
              <w:spacing w:before="40" w:after="40"/>
            </w:pPr>
            <w:r>
              <w:rPr>
                <w:sz w:val="20"/>
              </w:rPr>
              <w:t>Temple completed; not a new decree; 515 BC</w:t>
            </w:r>
          </w:p>
        </w:tc>
        <w:tc>
          <w:tcPr>
            <w:tcW w:type="dxa" w:w="1944"/>
            <w:vAlign w:val="center"/>
            <w:tcMar>
              <w:top w:w="85" w:type="dxa"/>
              <w:left w:w="85" w:type="dxa"/>
              <w:bottom w:w="85" w:type="dxa"/>
              <w:right w:w="85" w:type="dxa"/>
            </w:tcMar>
          </w:tcPr>
          <w:p>
            <w:pPr>
              <w:spacing w:before="40" w:after="40"/>
            </w:pPr>
            <w:r>
              <w:rPr>
                <w:sz w:val="20"/>
              </w:rPr>
              <w:t>466 BC</w:t>
            </w:r>
          </w:p>
        </w:tc>
        <w:tc>
          <w:tcPr>
            <w:tcW w:type="dxa" w:w="1944"/>
            <w:vAlign w:val="center"/>
            <w:tcMar>
              <w:top w:w="85" w:type="dxa"/>
              <w:left w:w="85" w:type="dxa"/>
              <w:bottom w:w="85" w:type="dxa"/>
              <w:right w:w="85" w:type="dxa"/>
            </w:tcMar>
          </w:tcPr>
          <w:p>
            <w:pPr>
              <w:spacing w:before="40" w:after="40"/>
            </w:pPr>
            <w:r>
              <w:rPr>
                <w:sz w:val="20"/>
              </w:rPr>
              <w:t>32 BC</w:t>
            </w:r>
          </w:p>
        </w:tc>
        <w:tc>
          <w:tcPr>
            <w:tcW w:type="dxa" w:w="1944"/>
            <w:vAlign w:val="center"/>
            <w:tcMar>
              <w:top w:w="85" w:type="dxa"/>
              <w:left w:w="85" w:type="dxa"/>
              <w:bottom w:w="85" w:type="dxa"/>
              <w:right w:w="85" w:type="dxa"/>
            </w:tcMar>
          </w:tcPr>
          <w:p>
            <w:pPr>
              <w:spacing w:before="40" w:after="40"/>
            </w:pPr>
            <w:r>
              <w:rPr>
                <w:sz w:val="20"/>
              </w:rPr>
              <w:t>25 BC</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Artaxerxes VII / Ezra; 458 BC</w:t>
            </w:r>
          </w:p>
        </w:tc>
        <w:tc>
          <w:tcPr>
            <w:tcW w:type="dxa" w:w="1944"/>
            <w:vAlign w:val="center"/>
            <w:tcMar>
              <w:top w:w="85" w:type="dxa"/>
              <w:left w:w="85" w:type="dxa"/>
              <w:bottom w:w="85" w:type="dxa"/>
              <w:right w:w="85" w:type="dxa"/>
            </w:tcMar>
            <w:shd w:fill="F6F6F6"/>
          </w:tcPr>
          <w:p>
            <w:pPr>
              <w:spacing w:before="40" w:after="40"/>
            </w:pPr>
            <w:r>
              <w:rPr>
                <w:sz w:val="20"/>
              </w:rPr>
              <w:t>409 BC</w:t>
            </w:r>
          </w:p>
        </w:tc>
        <w:tc>
          <w:tcPr>
            <w:tcW w:type="dxa" w:w="1944"/>
            <w:vAlign w:val="center"/>
            <w:tcMar>
              <w:top w:w="85" w:type="dxa"/>
              <w:left w:w="85" w:type="dxa"/>
              <w:bottom w:w="85" w:type="dxa"/>
              <w:right w:w="85" w:type="dxa"/>
            </w:tcMar>
            <w:shd w:fill="F6F6F6"/>
          </w:tcPr>
          <w:p>
            <w:pPr>
              <w:spacing w:before="40" w:after="40"/>
            </w:pPr>
            <w:r>
              <w:rPr>
                <w:sz w:val="20"/>
              </w:rPr>
              <w:t>AD 26</w:t>
            </w:r>
          </w:p>
        </w:tc>
        <w:tc>
          <w:tcPr>
            <w:tcW w:type="dxa" w:w="1944"/>
            <w:vAlign w:val="center"/>
            <w:tcMar>
              <w:top w:w="85" w:type="dxa"/>
              <w:left w:w="85" w:type="dxa"/>
              <w:bottom w:w="85" w:type="dxa"/>
              <w:right w:w="85" w:type="dxa"/>
            </w:tcMar>
            <w:shd w:fill="F6F6F6"/>
          </w:tcPr>
          <w:p>
            <w:pPr>
              <w:spacing w:before="40" w:after="40"/>
            </w:pPr>
            <w:r>
              <w:rPr>
                <w:sz w:val="20"/>
              </w:rPr>
              <w:t>AD 33</w:t>
            </w:r>
          </w:p>
        </w:tc>
      </w:tr>
      <w:tr>
        <w:trPr>
          <w:cantSplit/>
        </w:trPr>
        <w:tc>
          <w:tcPr>
            <w:tcW w:type="dxa" w:w="3960"/>
            <w:vAlign w:val="center"/>
            <w:tcMar>
              <w:top w:w="85" w:type="dxa"/>
              <w:left w:w="85" w:type="dxa"/>
              <w:bottom w:w="85" w:type="dxa"/>
              <w:right w:w="85" w:type="dxa"/>
            </w:tcMar>
          </w:tcPr>
          <w:p>
            <w:pPr>
              <w:spacing w:before="40" w:after="40"/>
            </w:pPr>
            <w:r>
              <w:rPr>
                <w:sz w:val="20"/>
              </w:rPr>
              <w:t>Ezra alternative; 457 BC</w:t>
            </w:r>
          </w:p>
        </w:tc>
        <w:tc>
          <w:tcPr>
            <w:tcW w:type="dxa" w:w="1944"/>
            <w:vAlign w:val="center"/>
            <w:tcMar>
              <w:top w:w="85" w:type="dxa"/>
              <w:left w:w="85" w:type="dxa"/>
              <w:bottom w:w="85" w:type="dxa"/>
              <w:right w:w="85" w:type="dxa"/>
            </w:tcMar>
          </w:tcPr>
          <w:p>
            <w:pPr>
              <w:spacing w:before="40" w:after="40"/>
            </w:pPr>
            <w:r>
              <w:rPr>
                <w:sz w:val="20"/>
              </w:rPr>
              <w:t>408 BC</w:t>
            </w:r>
          </w:p>
        </w:tc>
        <w:tc>
          <w:tcPr>
            <w:tcW w:type="dxa" w:w="1944"/>
            <w:vAlign w:val="center"/>
            <w:tcMar>
              <w:top w:w="85" w:type="dxa"/>
              <w:left w:w="85" w:type="dxa"/>
              <w:bottom w:w="85" w:type="dxa"/>
              <w:right w:w="85" w:type="dxa"/>
            </w:tcMar>
          </w:tcPr>
          <w:p>
            <w:pPr>
              <w:spacing w:before="40" w:after="40"/>
            </w:pPr>
            <w:r>
              <w:rPr>
                <w:sz w:val="20"/>
              </w:rPr>
              <w:t>AD 27</w:t>
            </w:r>
          </w:p>
        </w:tc>
        <w:tc>
          <w:tcPr>
            <w:tcW w:type="dxa" w:w="1944"/>
            <w:vAlign w:val="center"/>
            <w:tcMar>
              <w:top w:w="85" w:type="dxa"/>
              <w:left w:w="85" w:type="dxa"/>
              <w:bottom w:w="85" w:type="dxa"/>
              <w:right w:w="85" w:type="dxa"/>
            </w:tcMar>
          </w:tcPr>
          <w:p>
            <w:pPr>
              <w:spacing w:before="40" w:after="40"/>
            </w:pPr>
            <w:r>
              <w:rPr>
                <w:sz w:val="20"/>
              </w:rPr>
              <w:t>AD 34</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Older redated Artaxerxes scheme; 455 BC</w:t>
            </w:r>
          </w:p>
        </w:tc>
        <w:tc>
          <w:tcPr>
            <w:tcW w:type="dxa" w:w="1944"/>
            <w:vAlign w:val="center"/>
            <w:tcMar>
              <w:top w:w="85" w:type="dxa"/>
              <w:left w:w="85" w:type="dxa"/>
              <w:bottom w:w="85" w:type="dxa"/>
              <w:right w:w="85" w:type="dxa"/>
            </w:tcMar>
            <w:shd w:fill="F6F6F6"/>
          </w:tcPr>
          <w:p>
            <w:pPr>
              <w:spacing w:before="40" w:after="40"/>
            </w:pPr>
            <w:r>
              <w:rPr>
                <w:sz w:val="20"/>
              </w:rPr>
              <w:t>406 BC</w:t>
            </w:r>
          </w:p>
        </w:tc>
        <w:tc>
          <w:tcPr>
            <w:tcW w:type="dxa" w:w="1944"/>
            <w:vAlign w:val="center"/>
            <w:tcMar>
              <w:top w:w="85" w:type="dxa"/>
              <w:left w:w="85" w:type="dxa"/>
              <w:bottom w:w="85" w:type="dxa"/>
              <w:right w:w="85" w:type="dxa"/>
            </w:tcMar>
            <w:shd w:fill="F6F6F6"/>
          </w:tcPr>
          <w:p>
            <w:pPr>
              <w:spacing w:before="40" w:after="40"/>
            </w:pPr>
            <w:r>
              <w:rPr>
                <w:sz w:val="20"/>
              </w:rPr>
              <w:t>AD 29</w:t>
            </w:r>
          </w:p>
        </w:tc>
        <w:tc>
          <w:tcPr>
            <w:tcW w:type="dxa" w:w="1944"/>
            <w:vAlign w:val="center"/>
            <w:tcMar>
              <w:top w:w="85" w:type="dxa"/>
              <w:left w:w="85" w:type="dxa"/>
              <w:bottom w:w="85" w:type="dxa"/>
              <w:right w:w="85" w:type="dxa"/>
            </w:tcMar>
            <w:shd w:fill="F6F6F6"/>
          </w:tcPr>
          <w:p>
            <w:pPr>
              <w:spacing w:before="40" w:after="40"/>
            </w:pPr>
            <w:r>
              <w:rPr>
                <w:sz w:val="20"/>
              </w:rPr>
              <w:t>AD 36</w:t>
            </w:r>
          </w:p>
        </w:tc>
      </w:tr>
      <w:tr>
        <w:trPr>
          <w:cantSplit/>
        </w:trPr>
        <w:tc>
          <w:tcPr>
            <w:tcW w:type="dxa" w:w="3960"/>
            <w:vAlign w:val="center"/>
            <w:tcMar>
              <w:top w:w="85" w:type="dxa"/>
              <w:left w:w="85" w:type="dxa"/>
              <w:bottom w:w="85" w:type="dxa"/>
              <w:right w:w="85" w:type="dxa"/>
            </w:tcMar>
          </w:tcPr>
          <w:p>
            <w:pPr>
              <w:spacing w:before="40" w:after="40"/>
            </w:pPr>
            <w:r>
              <w:rPr>
                <w:sz w:val="20"/>
              </w:rPr>
              <w:t>Artaxerxes XX / Nehemiah; 445 BC</w:t>
            </w:r>
          </w:p>
        </w:tc>
        <w:tc>
          <w:tcPr>
            <w:tcW w:type="dxa" w:w="1944"/>
            <w:vAlign w:val="center"/>
            <w:tcMar>
              <w:top w:w="85" w:type="dxa"/>
              <w:left w:w="85" w:type="dxa"/>
              <w:bottom w:w="85" w:type="dxa"/>
              <w:right w:w="85" w:type="dxa"/>
            </w:tcMar>
          </w:tcPr>
          <w:p>
            <w:pPr>
              <w:spacing w:before="40" w:after="40"/>
            </w:pPr>
            <w:r>
              <w:rPr>
                <w:sz w:val="20"/>
              </w:rPr>
              <w:t>396 BC</w:t>
            </w:r>
          </w:p>
        </w:tc>
        <w:tc>
          <w:tcPr>
            <w:tcW w:type="dxa" w:w="1944"/>
            <w:vAlign w:val="center"/>
            <w:tcMar>
              <w:top w:w="85" w:type="dxa"/>
              <w:left w:w="85" w:type="dxa"/>
              <w:bottom w:w="85" w:type="dxa"/>
              <w:right w:w="85" w:type="dxa"/>
            </w:tcMar>
          </w:tcPr>
          <w:p>
            <w:pPr>
              <w:spacing w:before="40" w:after="40"/>
            </w:pPr>
            <w:r>
              <w:rPr>
                <w:sz w:val="20"/>
              </w:rPr>
              <w:t>AD 39</w:t>
            </w:r>
          </w:p>
        </w:tc>
        <w:tc>
          <w:tcPr>
            <w:tcW w:type="dxa" w:w="1944"/>
            <w:vAlign w:val="center"/>
            <w:tcMar>
              <w:top w:w="85" w:type="dxa"/>
              <w:left w:w="85" w:type="dxa"/>
              <w:bottom w:w="85" w:type="dxa"/>
              <w:right w:w="85" w:type="dxa"/>
            </w:tcMar>
          </w:tcPr>
          <w:p>
            <w:pPr>
              <w:spacing w:before="40" w:after="40"/>
            </w:pPr>
            <w:r>
              <w:rPr>
                <w:sz w:val="20"/>
              </w:rPr>
              <w:t>AD 46</w:t>
            </w:r>
          </w:p>
        </w:tc>
      </w:tr>
      <w:tr>
        <w:trPr>
          <w:cantSplit/>
        </w:trPr>
        <w:tc>
          <w:tcPr>
            <w:tcW w:type="dxa" w:w="3960"/>
            <w:vAlign w:val="center"/>
            <w:tcMar>
              <w:top w:w="85" w:type="dxa"/>
              <w:left w:w="85" w:type="dxa"/>
              <w:bottom w:w="85" w:type="dxa"/>
              <w:right w:w="85" w:type="dxa"/>
            </w:tcMar>
            <w:shd w:fill="F6F6F6"/>
          </w:tcPr>
          <w:p>
            <w:pPr>
              <w:spacing w:before="40" w:after="40"/>
            </w:pPr>
            <w:r>
              <w:rPr>
                <w:sz w:val="20"/>
              </w:rPr>
              <w:t>Nehemiah alternative; 444 BC</w:t>
            </w:r>
          </w:p>
        </w:tc>
        <w:tc>
          <w:tcPr>
            <w:tcW w:type="dxa" w:w="1944"/>
            <w:vAlign w:val="center"/>
            <w:tcMar>
              <w:top w:w="85" w:type="dxa"/>
              <w:left w:w="85" w:type="dxa"/>
              <w:bottom w:w="85" w:type="dxa"/>
              <w:right w:w="85" w:type="dxa"/>
            </w:tcMar>
            <w:shd w:fill="F6F6F6"/>
          </w:tcPr>
          <w:p>
            <w:pPr>
              <w:spacing w:before="40" w:after="40"/>
            </w:pPr>
            <w:r>
              <w:rPr>
                <w:sz w:val="20"/>
              </w:rPr>
              <w:t>395 BC</w:t>
            </w:r>
          </w:p>
        </w:tc>
        <w:tc>
          <w:tcPr>
            <w:tcW w:type="dxa" w:w="1944"/>
            <w:vAlign w:val="center"/>
            <w:tcMar>
              <w:top w:w="85" w:type="dxa"/>
              <w:left w:w="85" w:type="dxa"/>
              <w:bottom w:w="85" w:type="dxa"/>
              <w:right w:w="85" w:type="dxa"/>
            </w:tcMar>
            <w:shd w:fill="F6F6F6"/>
          </w:tcPr>
          <w:p>
            <w:pPr>
              <w:spacing w:before="40" w:after="40"/>
            </w:pPr>
            <w:r>
              <w:rPr>
                <w:sz w:val="20"/>
              </w:rPr>
              <w:t>AD 40</w:t>
            </w:r>
          </w:p>
        </w:tc>
        <w:tc>
          <w:tcPr>
            <w:tcW w:type="dxa" w:w="1944"/>
            <w:vAlign w:val="center"/>
            <w:tcMar>
              <w:top w:w="85" w:type="dxa"/>
              <w:left w:w="85" w:type="dxa"/>
              <w:bottom w:w="85" w:type="dxa"/>
              <w:right w:w="85" w:type="dxa"/>
            </w:tcMar>
            <w:shd w:fill="F6F6F6"/>
          </w:tcPr>
          <w:p>
            <w:pPr>
              <w:spacing w:before="40" w:after="40"/>
            </w:pPr>
            <w:r>
              <w:rPr>
                <w:sz w:val="20"/>
              </w:rPr>
              <w:t>AD 47</w:t>
            </w:r>
          </w:p>
        </w:tc>
      </w:tr>
    </w:tbl>
    <w:p>
      <w:pPr>
        <w:keepNext w:val="0"/>
      </w:pPr>
      <w:r/>
    </w:p>
    <w:p>
      <w:pPr>
        <w:keepNext w:val="0"/>
      </w:pPr>
      <w:r>
        <w:t>Outputs are elapsed anniversaries under the specified inputs. They do not identify the correct decree, establish a particular day or endorse every historical alternative. Full calculations and conventions accompany the report.</w:t>
      </w:r>
    </w:p>
    <w:p>
      <w:pPr>
        <w:pStyle w:val="Heading1"/>
      </w:pPr>
      <w:r>
        <w:t>6. The exact-day claims</w:t>
      </w:r>
    </w:p>
    <w:p>
      <w:pPr>
        <w:pStyle w:val="Heading2"/>
      </w:pPr>
      <w:r>
        <w:t>Anderson’s principal calculation</w:t>
      </w:r>
    </w:p>
    <w:p>
      <w:pPr>
        <w:keepNext w:val="0"/>
      </w:pPr>
      <w:r>
        <w:t>Anderson’s influential calculation starts with 1 Nisan assigned to 14 March 445 BC and ends with the triumphal entry assigned to 6 April AD 32. It combines 476 years, 24 inclusive days and 116 leap days to claim 173,880 days. Nehemiah 2 gives Nisan, not its first day. The starting day is therefore an inference, even before the astronomical identification of that Nisan is examined.</w:t>
      </w:r>
      <w:r>
        <w:rPr>
          <w:vertAlign w:val="superscript"/>
        </w:rPr>
        <w:footnoteReference w:id="15"/>
      </w:r>
    </w:p>
    <w:p>
      <w:pPr>
        <w:keepNext w:val="0"/>
      </w:pPr>
      <w:r>
        <w:t>Independent audit: using the quoted dates consistently in the proleptic Julian calendar gives 173,882 elapsed days or 173,883 inclusive days. Anderson’s leap-day adjustment borrows a correction appropriate to a mean/Gregorian-style year while retaining Julian date labels. A leap-year correction must be accompanied by a consistent calendar conversion. Changing the convention does not establish the absent decree day.</w:t>
      </w:r>
    </w:p>
    <w:p>
      <w:pPr>
        <w:pStyle w:val="Heading2"/>
      </w:pPr>
      <w:r>
        <w:t>Hoehner and later correction</w:t>
      </w:r>
    </w:p>
    <w:p>
      <w:pPr>
        <w:keepNext w:val="0"/>
      </w:pPr>
      <w:r>
        <w:t>Harold Hoehner’s later chronology shifts the starting year to 444 BC and the entry to AD 33. Young’s discussion reports the commonly used date pair 5 March 444 BC to 30 March AD 33. Recalculated in a consistent proleptic Julian calendar, these labels give 173,884 elapsed days, or 173,885 inclusive. This audit accessed Hoehner’s argument through Young’s reproduction and critique, not the original book or journal installment; variants in modern retellings must not be attributed to Hoehner without checking his edition.</w:t>
      </w:r>
      <w:r>
        <w:rPr>
          <w:vertAlign w:val="superscript"/>
        </w:rPr>
        <w:footnoteReference w:id="16"/>
      </w:r>
    </w:p>
    <w:p>
      <w:pPr>
        <w:keepNext w:val="0"/>
      </w:pPr>
      <w:r>
        <w:t>These independent calculations test the printed date pairs, not the historical date of a Persian new moon. Proleptic Julian dating is a modern extension of a calendar before its historical introduction. The attached script states its conventions explicitly. Gregorian labels of the same written month/day name different physical days; switching labels without converting them is not a valid repair.</w:t>
      </w:r>
    </w:p>
    <w:p>
      <w:pPr>
        <w:pStyle w:val="Heading2"/>
      </w:pPr>
      <w:r>
        <w:t>A different modern exactness argument</w:t>
      </w:r>
    </w:p>
    <w:p>
      <w:pPr>
        <w:keepNext w:val="0"/>
      </w:pPr>
      <w:r>
        <w:t>Young proposes a different route: 490 ordinary years, from Ezra’s first-month departure in 458 BC to Jesus’ resurrection in AD 33. His Julian dates, 8 April 458 BC and 5 April AD 33, correspond to 3 April in both years in the proleptic Gregorian calendar. The arithmetic reproduces 178,970 elapsed days and the same Gregorian anniversary. This is a genuine conditional calendar alignment and is not the Anderson/Hoehner 173,880-day claim.</w:t>
      </w:r>
    </w:p>
    <w:p>
      <w:pPr>
        <w:keepNext w:val="0"/>
      </w:pPr>
      <w:r>
        <w:t>Independent interpretive test: the decree’s issuance is not dated to the departure day. Ezra 7:9’s first-day beginning and Ezra 8:31’s twelfth-day departure from the Ahava staging point require distinction. Daniel does not identify resurrection as the endpoint, prescribe Gregorian anniversaries, or explain why this 490-year anniversary settles the 69-week arrival and half-week sacrifice clauses. The 458-year reckoning and AD 33 resurrection date remain defended inputs, not conclusions derived from Daniel. An exact arithmetic match does not establish an exact predictive interpretation.</w:t>
      </w:r>
    </w:p>
    <w:p>
      <w:pPr>
        <w:pStyle w:val="Heading2"/>
      </w:pPr>
      <w:r>
        <w:t>Verdict</w:t>
      </w:r>
    </w:p>
    <w:p>
      <w:pPr>
        <w:keepNext w:val="0"/>
      </w:pPr>
      <w:r>
        <w:t>Unsustainable as a demonstrated exact-day prediction. The decisive defect is cumulative: the starting word is disputed, a decree day is absent, the length conversion is uncommanded, the endpoint event is unnamed, historical Passion dates are not fixed beyond debate, and major printed pairs do not reproduce the claimed day count under one consistent convention. AD 30 and AD 33 remain prominent crucifixion candidates; choosing one is a historical argument, not a result proved by Daniel.</w:t>
      </w:r>
    </w:p>
    <w:p>
      <w:pPr>
        <w:keepNext w:val="0"/>
      </w:pPr>
      <w:r>
        <w:t>“Possible” could describe a conditional interpretive alignment after assumptions are disclosed. It cannot describe the stronger public assertion that independent evidence establishes Jesus’ arrival to the day. The audit rejects that stronger assertion, while leaving open a Christological interpretation that does not depend on it.</w:t>
      </w:r>
    </w:p>
    <w:p>
      <w:pPr>
        <w:pStyle w:val="Heading2"/>
      </w:pPr>
      <w:r>
        <w:t>Consistent-calendar checks</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92"/>
        <w:gridCol w:w="1512"/>
        <w:gridCol w:w="1512"/>
        <w:gridCol w:w="2376"/>
      </w:tblGrid>
      <w:tr>
        <w:trPr>
          <w:tblHeader/>
          <w:cantSplit/>
        </w:trPr>
        <w:tc>
          <w:tcPr>
            <w:tcW w:type="dxa" w:w="4392"/>
            <w:vAlign w:val="center"/>
            <w:tcMar>
              <w:top w:w="85" w:type="dxa"/>
              <w:left w:w="85" w:type="dxa"/>
              <w:bottom w:w="85" w:type="dxa"/>
              <w:right w:w="85" w:type="dxa"/>
            </w:tcMar>
            <w:shd w:fill="404040"/>
          </w:tcPr>
          <w:p>
            <w:pPr>
              <w:spacing w:before="40" w:after="40"/>
            </w:pPr>
            <w:r>
              <w:rPr>
                <w:b/>
                <w:color w:val="FFFFFF"/>
                <w:sz w:val="20"/>
              </w:rPr>
              <w:t>Printed date pair, proleptic Julian</w:t>
            </w:r>
          </w:p>
        </w:tc>
        <w:tc>
          <w:tcPr>
            <w:tcW w:type="dxa" w:w="1512"/>
            <w:vAlign w:val="center"/>
            <w:tcMar>
              <w:top w:w="85" w:type="dxa"/>
              <w:left w:w="85" w:type="dxa"/>
              <w:bottom w:w="85" w:type="dxa"/>
              <w:right w:w="85" w:type="dxa"/>
            </w:tcMar>
            <w:shd w:fill="404040"/>
          </w:tcPr>
          <w:p>
            <w:pPr>
              <w:spacing w:before="40" w:after="40"/>
            </w:pPr>
            <w:r>
              <w:rPr>
                <w:b/>
                <w:color w:val="FFFFFF"/>
                <w:sz w:val="20"/>
              </w:rPr>
              <w:t>Elapsed days</w:t>
            </w:r>
          </w:p>
        </w:tc>
        <w:tc>
          <w:tcPr>
            <w:tcW w:type="dxa" w:w="1512"/>
            <w:vAlign w:val="center"/>
            <w:tcMar>
              <w:top w:w="85" w:type="dxa"/>
              <w:left w:w="85" w:type="dxa"/>
              <w:bottom w:w="85" w:type="dxa"/>
              <w:right w:w="85" w:type="dxa"/>
            </w:tcMar>
            <w:shd w:fill="404040"/>
          </w:tcPr>
          <w:p>
            <w:pPr>
              <w:spacing w:before="40" w:after="40"/>
            </w:pPr>
            <w:r>
              <w:rPr>
                <w:b/>
                <w:color w:val="FFFFFF"/>
                <w:sz w:val="20"/>
              </w:rPr>
              <w:t>Inclusive days</w:t>
            </w:r>
          </w:p>
        </w:tc>
        <w:tc>
          <w:tcPr>
            <w:tcW w:type="dxa" w:w="2376"/>
            <w:vAlign w:val="center"/>
            <w:tcMar>
              <w:top w:w="85" w:type="dxa"/>
              <w:left w:w="85" w:type="dxa"/>
              <w:bottom w:w="85" w:type="dxa"/>
              <w:right w:w="85" w:type="dxa"/>
            </w:tcMar>
            <w:shd w:fill="404040"/>
          </w:tcPr>
          <w:p>
            <w:pPr>
              <w:spacing w:before="40" w:after="40"/>
            </w:pPr>
            <w:r>
              <w:rPr>
                <w:b/>
                <w:color w:val="FFFFFF"/>
                <w:sz w:val="20"/>
              </w:rPr>
              <w:t>Claimed target</w:t>
            </w:r>
          </w:p>
        </w:tc>
      </w:tr>
      <w:tr>
        <w:trPr>
          <w:cantSplit/>
        </w:trPr>
        <w:tc>
          <w:tcPr>
            <w:tcW w:type="dxa" w:w="4392"/>
            <w:vAlign w:val="center"/>
            <w:tcMar>
              <w:top w:w="85" w:type="dxa"/>
              <w:left w:w="85" w:type="dxa"/>
              <w:bottom w:w="85" w:type="dxa"/>
              <w:right w:w="85" w:type="dxa"/>
            </w:tcMar>
          </w:tcPr>
          <w:p>
            <w:pPr>
              <w:spacing w:before="40" w:after="40"/>
            </w:pPr>
            <w:r>
              <w:rPr>
                <w:sz w:val="20"/>
              </w:rPr>
              <w:t>Anderson: 14 March 445 BC → 6 April AD 32</w:t>
            </w:r>
          </w:p>
        </w:tc>
        <w:tc>
          <w:tcPr>
            <w:tcW w:type="dxa" w:w="1512"/>
            <w:vAlign w:val="center"/>
            <w:tcMar>
              <w:top w:w="85" w:type="dxa"/>
              <w:left w:w="85" w:type="dxa"/>
              <w:bottom w:w="85" w:type="dxa"/>
              <w:right w:w="85" w:type="dxa"/>
            </w:tcMar>
          </w:tcPr>
          <w:p>
            <w:pPr>
              <w:spacing w:before="40" w:after="40"/>
            </w:pPr>
            <w:r>
              <w:rPr>
                <w:sz w:val="20"/>
              </w:rPr>
              <w:t>173,882</w:t>
            </w:r>
          </w:p>
        </w:tc>
        <w:tc>
          <w:tcPr>
            <w:tcW w:type="dxa" w:w="1512"/>
            <w:vAlign w:val="center"/>
            <w:tcMar>
              <w:top w:w="85" w:type="dxa"/>
              <w:left w:w="85" w:type="dxa"/>
              <w:bottom w:w="85" w:type="dxa"/>
              <w:right w:w="85" w:type="dxa"/>
            </w:tcMar>
          </w:tcPr>
          <w:p>
            <w:pPr>
              <w:spacing w:before="40" w:after="40"/>
            </w:pPr>
            <w:r>
              <w:rPr>
                <w:sz w:val="20"/>
              </w:rPr>
              <w:t>173,883</w:t>
            </w:r>
          </w:p>
        </w:tc>
        <w:tc>
          <w:tcPr>
            <w:tcW w:type="dxa" w:w="2376"/>
            <w:vAlign w:val="center"/>
            <w:tcMar>
              <w:top w:w="85" w:type="dxa"/>
              <w:left w:w="85" w:type="dxa"/>
              <w:bottom w:w="85" w:type="dxa"/>
              <w:right w:w="85" w:type="dxa"/>
            </w:tcMar>
          </w:tcPr>
          <w:p>
            <w:pPr>
              <w:spacing w:before="40" w:after="40"/>
            </w:pPr>
            <w:r>
              <w:rPr>
                <w:sz w:val="20"/>
              </w:rPr>
              <w:t>173,880</w:t>
            </w:r>
          </w:p>
        </w:tc>
      </w:tr>
      <w:tr>
        <w:trPr>
          <w:cantSplit/>
        </w:trPr>
        <w:tc>
          <w:tcPr>
            <w:tcW w:type="dxa" w:w="4392"/>
            <w:vAlign w:val="center"/>
            <w:tcMar>
              <w:top w:w="85" w:type="dxa"/>
              <w:left w:w="85" w:type="dxa"/>
              <w:bottom w:w="85" w:type="dxa"/>
              <w:right w:w="85" w:type="dxa"/>
            </w:tcMar>
            <w:shd w:fill="F6F6F6"/>
          </w:tcPr>
          <w:p>
            <w:pPr>
              <w:spacing w:before="40" w:after="40"/>
            </w:pPr>
            <w:r>
              <w:rPr>
                <w:sz w:val="20"/>
              </w:rPr>
              <w:t>Hoehner pair reported by Young: 5 March 444 BC → 30 March AD 33</w:t>
            </w:r>
          </w:p>
        </w:tc>
        <w:tc>
          <w:tcPr>
            <w:tcW w:type="dxa" w:w="1512"/>
            <w:vAlign w:val="center"/>
            <w:tcMar>
              <w:top w:w="85" w:type="dxa"/>
              <w:left w:w="85" w:type="dxa"/>
              <w:bottom w:w="85" w:type="dxa"/>
              <w:right w:w="85" w:type="dxa"/>
            </w:tcMar>
            <w:shd w:fill="F6F6F6"/>
          </w:tcPr>
          <w:p>
            <w:pPr>
              <w:spacing w:before="40" w:after="40"/>
            </w:pPr>
            <w:r>
              <w:rPr>
                <w:sz w:val="20"/>
              </w:rPr>
              <w:t>173,884</w:t>
            </w:r>
          </w:p>
        </w:tc>
        <w:tc>
          <w:tcPr>
            <w:tcW w:type="dxa" w:w="1512"/>
            <w:vAlign w:val="center"/>
            <w:tcMar>
              <w:top w:w="85" w:type="dxa"/>
              <w:left w:w="85" w:type="dxa"/>
              <w:bottom w:w="85" w:type="dxa"/>
              <w:right w:w="85" w:type="dxa"/>
            </w:tcMar>
            <w:shd w:fill="F6F6F6"/>
          </w:tcPr>
          <w:p>
            <w:pPr>
              <w:spacing w:before="40" w:after="40"/>
            </w:pPr>
            <w:r>
              <w:rPr>
                <w:sz w:val="20"/>
              </w:rPr>
              <w:t>173,885</w:t>
            </w:r>
          </w:p>
        </w:tc>
        <w:tc>
          <w:tcPr>
            <w:tcW w:type="dxa" w:w="2376"/>
            <w:vAlign w:val="center"/>
            <w:tcMar>
              <w:top w:w="85" w:type="dxa"/>
              <w:left w:w="85" w:type="dxa"/>
              <w:bottom w:w="85" w:type="dxa"/>
              <w:right w:w="85" w:type="dxa"/>
            </w:tcMar>
            <w:shd w:fill="F6F6F6"/>
          </w:tcPr>
          <w:p>
            <w:pPr>
              <w:spacing w:before="40" w:after="40"/>
            </w:pPr>
            <w:r>
              <w:rPr>
                <w:sz w:val="20"/>
              </w:rPr>
              <w:t>173,880</w:t>
            </w:r>
          </w:p>
        </w:tc>
      </w:tr>
      <w:tr>
        <w:trPr>
          <w:cantSplit/>
        </w:trPr>
        <w:tc>
          <w:tcPr>
            <w:tcW w:type="dxa" w:w="4392"/>
            <w:vAlign w:val="center"/>
            <w:tcMar>
              <w:top w:w="85" w:type="dxa"/>
              <w:left w:w="85" w:type="dxa"/>
              <w:bottom w:w="85" w:type="dxa"/>
              <w:right w:w="85" w:type="dxa"/>
            </w:tcMar>
          </w:tcPr>
          <w:p>
            <w:pPr>
              <w:spacing w:before="40" w:after="40"/>
            </w:pPr>
            <w:r>
              <w:rPr>
                <w:sz w:val="20"/>
              </w:rPr>
              <w:t>Young: 8 April 458 BC → 5 April AD 33</w:t>
            </w:r>
          </w:p>
        </w:tc>
        <w:tc>
          <w:tcPr>
            <w:tcW w:type="dxa" w:w="1512"/>
            <w:vAlign w:val="center"/>
            <w:tcMar>
              <w:top w:w="85" w:type="dxa"/>
              <w:left w:w="85" w:type="dxa"/>
              <w:bottom w:w="85" w:type="dxa"/>
              <w:right w:w="85" w:type="dxa"/>
            </w:tcMar>
          </w:tcPr>
          <w:p>
            <w:pPr>
              <w:spacing w:before="40" w:after="40"/>
            </w:pPr>
            <w:r>
              <w:rPr>
                <w:sz w:val="20"/>
              </w:rPr>
              <w:t>178,970</w:t>
            </w:r>
          </w:p>
        </w:tc>
        <w:tc>
          <w:tcPr>
            <w:tcW w:type="dxa" w:w="1512"/>
            <w:vAlign w:val="center"/>
            <w:tcMar>
              <w:top w:w="85" w:type="dxa"/>
              <w:left w:w="85" w:type="dxa"/>
              <w:bottom w:w="85" w:type="dxa"/>
              <w:right w:w="85" w:type="dxa"/>
            </w:tcMar>
          </w:tcPr>
          <w:p>
            <w:pPr>
              <w:spacing w:before="40" w:after="40"/>
            </w:pPr>
            <w:r>
              <w:rPr>
                <w:sz w:val="20"/>
              </w:rPr>
              <w:t>178,971</w:t>
            </w:r>
          </w:p>
        </w:tc>
        <w:tc>
          <w:tcPr>
            <w:tcW w:type="dxa" w:w="2376"/>
            <w:vAlign w:val="center"/>
            <w:tcMar>
              <w:top w:w="85" w:type="dxa"/>
              <w:left w:w="85" w:type="dxa"/>
              <w:bottom w:w="85" w:type="dxa"/>
              <w:right w:w="85" w:type="dxa"/>
            </w:tcMar>
          </w:tcPr>
          <w:p>
            <w:pPr>
              <w:spacing w:before="40" w:after="40"/>
            </w:pPr>
            <w:r>
              <w:rPr>
                <w:sz w:val="20"/>
              </w:rPr>
              <w:t>490 Gregorian anniversaries</w:t>
            </w:r>
          </w:p>
        </w:tc>
      </w:tr>
    </w:tbl>
    <w:p>
      <w:pPr>
        <w:keepNext w:val="0"/>
      </w:pPr>
      <w:r/>
    </w:p>
    <w:p>
      <w:pPr>
        <w:keepNext w:val="0"/>
      </w:pPr>
      <w:r>
        <w:t>Julian day calculation: a = floor((14 − month)/12); Y = astronomical year + 4800 − a; M = month + 12a − 3; JDN = day + floor((153M + 2)/5) + 365Y + floor(Y/4) − 32083. Subtract start from end. The Gregorian form additionally subtracts floor(Y/100), adds floor(Y/400), and uses −32045. Inclusive counting adds one day.</w:t>
      </w:r>
    </w:p>
    <w:p>
      <w:pPr>
        <w:pStyle w:val="Heading1"/>
      </w:pPr>
      <w:r>
        <w:t>7. New Testament evidence</w:t>
      </w:r>
    </w:p>
    <w:p>
      <w:pPr>
        <w:pStyle w:val="Heading2"/>
      </w:pPr>
      <w:r>
        <w:t>Explicit Danielic desolation, not an explicit anointed identity</w:t>
      </w:r>
    </w:p>
    <w:p>
      <w:pPr>
        <w:keepNext w:val="0"/>
      </w:pPr>
      <w:r>
        <w:t>Matthew 24:15 names Daniel and invokes the abomination of desolation in a holy place. The wording belongs to the Danielic cluster at 9:27, 11:31 and 12:11; Matthew does not name a modern verse number. Mark 13:14 uses the same desolation expression, with the reader directed to understand; the clause naming Daniel appears in some later textual forms but is absent from the main critical-text reading. Neither passage identifies the anointed figure in 9:25–26.</w:t>
      </w:r>
      <w:r>
        <w:rPr>
          <w:vertAlign w:val="superscript"/>
        </w:rPr>
        <w:footnoteReference w:id="17"/>
      </w:r>
    </w:p>
    <w:p>
      <w:pPr>
        <w:keepNext w:val="0"/>
      </w:pPr>
      <w:r>
        <w:t>Luke 21:20–24 speaks of Jerusalem surrounded by armies and its approaching desolation. In the parallel discourse, this strongly supports a Roman/Jerusalem application of the desolation theme. The discourse also has an eschatological horizon. How its nearer and final horizons relate is debated, but neither reading supplies a 483-year calculation or a seven-year covenant treaty.</w:t>
      </w:r>
      <w:r>
        <w:rPr>
          <w:vertAlign w:val="superscript"/>
        </w:rPr>
        <w:footnoteReference w:id="18"/>
      </w:r>
    </w:p>
    <w:p>
      <w:pPr>
        <w:pStyle w:val="Heading2"/>
      </w:pPr>
      <w:r>
        <w:t>Death, covenant and atonement</w:t>
      </w:r>
    </w:p>
    <w:p>
      <w:pPr>
        <w:keepNext w:val="0"/>
      </w:pPr>
      <w:r>
        <w:t>Mark 14:24 and Matthew 26:28 connect Jesus’ blood with covenant and the many. Daniel 9:27 can contribute to a larger canonical constellation, but Exodus 24:8 and Isaiah 53 supply closer, clearer wording and concepts. No citation formula identifies Daniel here. Reading the covenant’s subject as Jesus may fit this constellation; it is not established simply by the shared words “covenant” and “many.”</w:t>
      </w:r>
      <w:r>
        <w:rPr>
          <w:vertAlign w:val="superscript"/>
        </w:rPr>
        <w:footnoteReference w:id="19"/>
      </w:r>
    </w:p>
    <w:p>
      <w:pPr>
        <w:keepNext w:val="0"/>
      </w:pPr>
      <w:r>
        <w:t>Hebrews 9:26 describes Christ’s decisive dealing with sin through his sacrifice; Hebrews 10:1–18 explains the sufficiency of that offering. This is a substantial theological counterpart to Daniel 9:24’s hope of atonement. Hebrews directly develops other Scriptures, especially Jeremiah’s new covenant, but does not quote the seventy weeks or identify Daniel’s cut-off figure. The fact that Christ fulfills the need Daniel prays about is stronger than the claim that Hebrews decodes Daniel’s timetable.</w:t>
      </w:r>
      <w:r>
        <w:rPr>
          <w:vertAlign w:val="superscript"/>
        </w:rPr>
        <w:footnoteReference w:id="20"/>
      </w:r>
    </w:p>
    <w:p>
      <w:pPr>
        <w:keepNext w:val="0"/>
      </w:pPr>
      <w:r>
        <w:t>Acts 8:32–35 explicitly interprets Isaiah 53 in relation to Jesus. It is not an explicit interpretation of Daniel 9:26, even though both can speak of a life removed. Luke 24:27, 44–47 authorizes a Christ-centred reading of Scripture as a whole; it does not provide an index proving that every later proposed proof text was among Jesus’ explanations.</w:t>
      </w:r>
    </w:p>
    <w:p>
      <w:pPr>
        <w:pStyle w:val="Heading2"/>
      </w:pPr>
      <w:r>
        <w:t>Paul and Revelation</w:t>
      </w:r>
    </w:p>
    <w:p>
      <w:pPr>
        <w:keepNext w:val="0"/>
      </w:pPr>
      <w:r>
        <w:t>Second Thessalonians 2:3–4’s self-exalting lawless figure has close affinity with Daniel 11:36 and the wider Danielic antagonist. His destruction at Christ’s appearing supplies a canonical framework for final opposition. Paul does not identify Daniel 9’s covenant-maker, give a seven-year treaty, or state an interval between the sixty-ninth and seventieth weeks. Romans 3’s righteousness and atonement language, Galatians 4:4’s fullness of time and other Pauline saving summaries likewise do not calculate Daniel 9.</w:t>
      </w:r>
      <w:r>
        <w:rPr>
          <w:vertAlign w:val="superscript"/>
        </w:rPr>
        <w:footnoteReference w:id="21"/>
      </w:r>
    </w:p>
    <w:p>
      <w:pPr>
        <w:keepNext w:val="0"/>
      </w:pPr>
      <w:r>
        <w:t>Revelation’s forty-two months, 1,260 days and time-times-half-time reflect Daniel’s bounded persecution, especially Daniel 7 and 12. A connection with Daniel 9’s half-week is possible within that network. Revelation never states that all seventy weeks consist of 360-day years. Its temporal symbols cannot be treated as an explicit instruction for Anderson’s conversion.</w:t>
      </w:r>
    </w:p>
    <w:p>
      <w:pPr>
        <w:keepNext w:val="0"/>
      </w:pPr>
      <w:r>
        <w:t>Other proposed links are weaker: Mark 1:15’s fulfilled time does not identify Daniel 9; Matthew 18:22’s seventy-seven/seventy-times-seven is a forgiveness saying with a closer verbal backdrop in Genesis 4:24. Jesus’ Son of Man language points notably to Daniel 7, not automatically to Daniel 9. The absence of an explicit identity statement does not refute every allusion, but it prevents an “Explicit” badge for the specific cut-off-Jesus claim.</w:t>
      </w:r>
    </w:p>
    <w:p>
      <w:pPr>
        <w:keepNext w:val="0"/>
      </w:pPr>
      <w:r>
        <w:t>Result of the canonical survey: explicit reuse of Danielic desolation; strong Christian fulfillment of the broader need for atonement and restoration; possible but disputed Daniel 9-specific death/covenant echoes; no explicit New Testament identification of the anointed one in 9:25–26 and no New Testament 483-year or exact-day calculation.</w:t>
      </w:r>
    </w:p>
    <w:p>
      <w:pPr>
        <w:pStyle w:val="Heading1"/>
      </w:pPr>
      <w:r>
        <w:t>8. Jewish reception in its historical diversity</w:t>
      </w:r>
    </w:p>
    <w:p>
      <w:pPr>
        <w:pStyle w:val="Heading2"/>
      </w:pPr>
      <w:r>
        <w:t>Second Temple witnesses</w:t>
      </w:r>
    </w:p>
    <w:p>
      <w:pPr>
        <w:keepNext w:val="0"/>
      </w:pPr>
      <w:r>
        <w:t>First Maccabees 1:54 uses the desolating-abomination expression for the Antiochene installation. That is early evidence for this historical application. It does not explicitly calculate all seventy weeks or identify every figure in Daniel 9. Its continuing story after the temple’s rededication also cautions against equating a cultic recovery with the final removal of sin.</w:t>
      </w:r>
    </w:p>
    <w:p>
      <w:pPr>
        <w:keepNext w:val="0"/>
      </w:pPr>
      <w:r>
        <w:t>The 11Q13 jubilee setting shows that Danielic anointing could participate in an eschatological Jewish expectation of release, judgment and good news. The herald, Melchizedek and the cited scriptural figures must not all be collapsed into a single person without attention to the fragmentary text. This is enough to refute “no Jewish reader ever understood Daniel 9 messianically,” but not enough to prove a universal expectation of a dying Davidic Messiah in AD 30.</w:t>
      </w:r>
      <w:r>
        <w:rPr>
          <w:vertAlign w:val="superscript"/>
        </w:rPr>
        <w:footnoteReference w:id="22"/>
      </w:r>
    </w:p>
    <w:p>
      <w:pPr>
        <w:keepNext w:val="0"/>
      </w:pPr>
      <w:r>
        <w:t>Josephus explicitly associates Daniel with Antiochus and, in a further application, Roman devastation (Antiquities 10.11.7). His account demonstrates that later fulfillment and earlier historical application could coexist. He does not give a Daniel 9 calculation identifying Jesus. The sometimes proposed Ananus connection in War 4 remains an inference from his description of the priest’s murder and the city’s downfall.</w:t>
      </w:r>
      <w:r>
        <w:rPr>
          <w:vertAlign w:val="superscript"/>
        </w:rPr>
        <w:footnoteReference w:id="23"/>
      </w:r>
    </w:p>
    <w:p>
      <w:pPr>
        <w:pStyle w:val="Heading2"/>
      </w:pPr>
      <w:r>
        <w:t>Rabbinic and medieval interpretation</w:t>
      </w:r>
    </w:p>
    <w:p>
      <w:pPr>
        <w:keepNext w:val="0"/>
      </w:pPr>
      <w:r>
        <w:t>Later rabbinic chronography, notably the Seder Olam tradition, arranges the exile and Second Temple era in a compressed chronology. Rashi’s commentary applies seventy weeks across seventy years of exile and 420 years of the Second Temple, reads the first anointed figure as Cyrus and interprets the destruction through Rome. This preserves a serious AD 70 reading but does not agree with the much longer Persian period in conventional historical chronology. Its numbers must be tested just as Christian numbers are.</w:t>
      </w:r>
      <w:r>
        <w:rPr>
          <w:vertAlign w:val="superscript"/>
        </w:rPr>
        <w:footnoteReference w:id="24"/>
      </w:r>
    </w:p>
    <w:p>
      <w:pPr>
        <w:keepNext w:val="0"/>
      </w:pPr>
      <w:r>
        <w:t>This audit consulted Rashi directly, but not a full critical edition of Seder Olam or the complete relevant rabbinic corpus. It therefore does not reconstruct a rabbinic consensus from a few quotations. Warnings against calculating the end must not become the claim that Jews were forbidden to read Daniel because it proved Jesus. Ancient and medieval Christian reports of Jewish interpretations likewise require caution: they are witnesses mediated by the Christian reporter.</w:t>
      </w:r>
    </w:p>
    <w:p>
      <w:pPr>
        <w:pStyle w:val="Heading2"/>
      </w:pPr>
      <w:r>
        <w:t>Modern Jewish readings</w:t>
      </w:r>
    </w:p>
    <w:p>
      <w:pPr>
        <w:keepNext w:val="0"/>
      </w:pPr>
      <w:r>
        <w:t>Rosenfeld’s modern Aish response represents a rabbinic apologetic reading centered on two anointed figures and Roman destruction. Its lexical caution about mashiaḥ is useful. Its claim that being cut off necessarily implies the victim’s wickedness overreaches: a word for removal does not establish moral guilt. Its Agrippa alternative and compressed timeline also require historical scrutiny. This is one modern position, not a proxy for academic Jewish interpretation.</w:t>
      </w:r>
      <w:r>
        <w:rPr>
          <w:vertAlign w:val="superscript"/>
        </w:rPr>
        <w:footnoteReference w:id="25"/>
      </w:r>
    </w:p>
    <w:p>
      <w:pPr>
        <w:keepNext w:val="0"/>
      </w:pPr>
      <w:r>
        <w:t>Modern Jewish academic work on Daniel includes Michael Segal’s examination of the Persian period and the literary relationship between Jeremiah’s seventy years and Daniel’s seventy weeks. His 2011 article and 2016 book chapter were identified, but their full texts were not accessible in this audit. They are recorded as a material access limitation rather than silently represented as independently assessed. This limitation matters especially for competing explanations of the scheme’s historical arithmetic.</w:t>
      </w:r>
    </w:p>
    <w:p>
      <w:pPr>
        <w:keepNext w:val="0"/>
      </w:pPr>
      <w:r>
        <w:t>Conclusion: Jewish reception is not uniformly non-messianic, uniformly Antiochene, or uniformly Roman. It is legitimate evidence about how these words were understood. No stage of reception overrides the text, and no community’s presumed motive substitutes for evaluating its argument.</w:t>
      </w:r>
    </w:p>
    <w:p>
      <w:pPr>
        <w:pStyle w:val="Heading1"/>
      </w:pPr>
      <w:r>
        <w:t>9. Christians before modern dispensationalism</w:t>
      </w:r>
    </w:p>
    <w:p>
      <w:pPr>
        <w:keepNext w:val="0"/>
      </w:pPr>
      <w:r>
        <w:t>Christological interpretation is ancient; Anderson did not invent it. Nor did early Christians agree on a single calculation. Distinguish a writer’s identification of Christ, his reconstruction of ancient reigns and his expectation for a last week. The first may be meaningful even when the second is chronologically unsound.</w:t>
      </w:r>
      <w:r>
        <w:rPr>
          <w:vertAlign w:val="superscript"/>
        </w:rPr>
        <w:footnoteReference w:id="26"/>
      </w:r>
    </w:p>
    <w:p>
      <w:pPr>
        <w:pStyle w:val="Heading2"/>
      </w:pPr>
      <w:r>
        <w:t>Irenaeus, late second century</w:t>
      </w:r>
    </w:p>
    <w:p>
      <w:pPr>
        <w:keepNext w:val="0"/>
      </w:pPr>
      <w:r>
        <w:t>Against Heresies 5.25 combines Daniel, the Gospel desolation saying and 2 Thessalonians in an account of the final Antichrist. He reads the half-week as three and a half years. This directly establishes a pre-modern future-antagonist reading, but the passage does not offer Anderson’s start date or a complete independently checkable 483-year chronology. It should not be cited as proof that the whole later dispensational system was already established.</w:t>
      </w:r>
      <w:r>
        <w:rPr>
          <w:vertAlign w:val="superscript"/>
        </w:rPr>
        <w:footnoteReference w:id="27"/>
      </w:r>
    </w:p>
    <w:p>
      <w:pPr>
        <w:pStyle w:val="Heading2"/>
      </w:pPr>
      <w:r>
        <w:t>Hippolytus, early third century</w:t>
      </w:r>
    </w:p>
    <w:p>
      <w:pPr>
        <w:keepNext w:val="0"/>
      </w:pPr>
      <w:r>
        <w:t>The surviving Daniel exposition assigns the first anointed leader to Joshua son of Jehozadak, explicitly noting that kings and priests could be called anointed ones. It then places 434 years from restoration to Christ’s coming/birth and reserves a final week for eschatological events after Gospel proclamation, including Antichrist. His first forty-nine years complete a seventy-year exile after an initial twenty-one. These details show both an ancient two-figure Christian reading and an ancient interval before the last week. They do not match securely established Persian-to-Roman chronology.</w:t>
      </w:r>
      <w:r>
        <w:rPr>
          <w:vertAlign w:val="superscript"/>
        </w:rPr>
        <w:footnoteReference w:id="28"/>
      </w:r>
    </w:p>
    <w:p>
      <w:pPr>
        <w:pStyle w:val="Heading2"/>
      </w:pPr>
      <w:r>
        <w:t>Julius Africanus, early third century</w:t>
      </w:r>
    </w:p>
    <w:p>
      <w:pPr>
        <w:keepNext w:val="0"/>
      </w:pPr>
      <w:r>
        <w:t>Fragment 16 starts with Artaxerxes’ twentieth year and Nehemiah, ending in the sixteenth year of Tiberius. Africanus obtains 475 solar years and seeks to reconcile them with 490 lunar years of 354 days, discussing intercalation. This is not a calculation of 483 years of 360 days. The chosen reign totals and treatment of intercalation require independent defense; it remains evidence of an early effort to align Daniel with Christ, not an inherited exact-day result.</w:t>
      </w:r>
      <w:r>
        <w:rPr>
          <w:vertAlign w:val="superscript"/>
        </w:rPr>
        <w:footnoteReference w:id="29"/>
      </w:r>
    </w:p>
    <w:p>
      <w:pPr>
        <w:pStyle w:val="Heading2"/>
      </w:pPr>
      <w:r>
        <w:t>Eusebius, Tertullian and Jerome’s comparative record</w:t>
      </w:r>
    </w:p>
    <w:p>
      <w:pPr>
        <w:keepNext w:val="0"/>
      </w:pPr>
      <w:r>
        <w:t>Jerome preserves multiple earlier calculations rather than pretending uniformity. His account of Eusebius distinguishes priestly succession and anointing from a simple proper-name reading of every “Christ”; alternative starting points include the postexilic period. His account of Tertullian connects the span with Christ and the subsequent Roman overthrow. Jerome also reports interpretations reaching Hadrian and notes serious discrepancies between claimed totals and elapsed history. These positions are used here through Jerome’s report, not as independently collated editions of each earlier author.</w:t>
      </w:r>
      <w:r>
        <w:rPr>
          <w:vertAlign w:val="superscript"/>
        </w:rPr>
        <w:footnoteReference w:id="30"/>
      </w:r>
    </w:p>
    <w:p>
      <w:pPr>
        <w:keepNext w:val="0"/>
      </w:pPr>
      <w:r>
        <w:t>The historical conclusion is bounded: Jesus-centered interpretation, priestly readings, Roman destruction and a future final week all predate modern dispensationalism. Antiquity makes them serious reception evidence. It cannot make incompatible calendars simultaneously exact. A claim that all early Christians used one uninterrupted chronology, or that every gap interpretation is a nineteenth-century invention, is excluded by the evidence.</w:t>
      </w:r>
    </w:p>
    <w:p>
      <w:pPr>
        <w:pStyle w:val="Heading1"/>
      </w:pPr>
      <w:r>
        <w:t>10. Modern scholarly cross-check</w:t>
      </w:r>
    </w:p>
    <w:p>
      <w:pPr>
        <w:keepNext w:val="0"/>
      </w:pPr>
      <w:r>
        <w:t>The cross-check weighs arguments rather than scholars as votes. The principal comparisons include conservative Christological, historical-critical Christian, rabbinic and eschatological approaches. Full access to major Jewish academic monographs and critical commentaries was uneven; the limits below prevent a claim of exhaustive scholarly coverage.</w:t>
      </w:r>
    </w:p>
    <w:p>
      <w:pPr>
        <w:pStyle w:val="Heading2"/>
      </w:pPr>
      <w:r>
        <w:t>Contextual Cyrus arguments</w:t>
      </w:r>
    </w:p>
    <w:p>
      <w:pPr>
        <w:keepNext w:val="0"/>
      </w:pPr>
      <w:r>
        <w:t>Poythress emphasizes Daniel’s scriptural setting and the canonical role of Cyrus, challenging the assumption that only Nehemiah’s city-wall authorization can qualify. This is a substantial objection to choosing a decree by the result it yields. Yet a contextual start does not turn the interval to Christ into 483 ordinary years. Symbolic interpretation must explain what the particular subdivisions contribute.</w:t>
      </w:r>
    </w:p>
    <w:p>
      <w:pPr>
        <w:keepNext w:val="0"/>
      </w:pPr>
      <w:r>
        <w:t>Larson defends an approximate Cyrus-to-Christ fulfillment rather than exact elapsed years. This preserves a compelling restoration starting point, but a broad range stretching around the era of Jesus loses the discriminating power claimed by a precise prediction. The fit is theological and approximate, not a recovered exact calculation.</w:t>
      </w:r>
      <w:r>
        <w:rPr>
          <w:vertAlign w:val="superscript"/>
        </w:rPr>
        <w:footnoteReference w:id="31"/>
      </w:r>
    </w:p>
    <w:p>
      <w:pPr>
        <w:pStyle w:val="Heading2"/>
      </w:pPr>
      <w:r>
        <w:t>Christological exactness and symbolic fulfillment</w:t>
      </w:r>
    </w:p>
    <w:p>
      <w:pPr>
        <w:keepNext w:val="0"/>
      </w:pPr>
      <w:r>
        <w:t>Young criticizes earlier popular exact-day systems while advancing a different 490-year alignment. The independent arithmetic above acknowledges the alignment and separates it from the interpretation of the decree, event and week boundaries. A Christian critic of Anderson is not thereby an opponent of Daniel’s Christological significance.</w:t>
      </w:r>
    </w:p>
    <w:p>
      <w:pPr>
        <w:keepNext w:val="0"/>
      </w:pPr>
      <w:r>
        <w:t>Chase offers a Christian reading of the sabbatical pattern reaching Christ, taking seriously sin’s resolution and the passage’s larger purpose. Its strength is canonical coherence; its vulnerabilities include the exact relationship of seven and sixty-two and whether a most holy place is too quickly made a personal title. The broader Christian fulfillment can be stronger than any single lexical identification.</w:t>
      </w:r>
      <w:r>
        <w:rPr>
          <w:vertAlign w:val="superscript"/>
        </w:rPr>
        <w:footnoteReference w:id="32"/>
      </w:r>
    </w:p>
    <w:p>
      <w:pPr>
        <w:pStyle w:val="Heading2"/>
      </w:pPr>
      <w:r>
        <w:t>Historical crisis and Roman destruction</w:t>
      </w:r>
    </w:p>
    <w:p>
      <w:pPr>
        <w:keepNext w:val="0"/>
      </w:pPr>
      <w:r>
        <w:t>The NABRE notes present the Onias/Antiochus reading concisely. Its principal evidence is the sequence of priestly removal, suppression of worship and abomination, read alongside Daniel 8 and 11. This approach explains more local detail than a stand-alone date calculation, but the note’s historical identification is not itself proof that all the years or six objectives are exhausted in that crisis.</w:t>
      </w:r>
    </w:p>
    <w:p>
      <w:pPr>
        <w:keepNext w:val="0"/>
      </w:pPr>
      <w:r>
        <w:t>Tanner argues that the city-and-sanctuary objects require actual destruction rather than mere corruption, favoring AD 70. This is the strongest historical objection to reducing verse 26 to Antiochene profanation. The response must cite actual devastation in 1 Maccabees rather than stretch a lexicon. Even then Rome remains the clearer instance of complete temple destruction. Conversely, choosing AD 70 does not settle the anointed identity, covenant or seventy-week start.</w:t>
      </w:r>
      <w:r>
        <w:rPr>
          <w:vertAlign w:val="superscript"/>
        </w:rPr>
        <w:footnoteReference w:id="33"/>
      </w:r>
    </w:p>
    <w:p>
      <w:pPr>
        <w:keepNext w:val="0"/>
      </w:pPr>
      <w:r>
        <w:t>Ulrich’s reception study shows how an Antiochene reading and continuing eschatological expectation could coexist. It challenges the false choice between “nothing beyond 164 BC” and “no relevance to Antiochus.” This audit accepts the importance of that distinction without assuming every later reuse proves one specific earlier referent.</w:t>
      </w:r>
    </w:p>
    <w:p>
      <w:pPr>
        <w:pStyle w:val="Heading2"/>
      </w:pPr>
      <w:r>
        <w:t>Comparative judgment</w:t>
      </w:r>
    </w:p>
    <w:p>
      <w:pPr>
        <w:keepNext w:val="0"/>
      </w:pPr>
      <w:r>
        <w:t>The historical two-figure model best explains segmentation and the cultic sequence; AD 70 best exemplifies city-and-temple destruction; Christ answers the Christian canonical hope of atonement. No model demonstrates the entire chronology. Combining these strengths into a multi-stage fulfillment remains an interpretive construction, not an explicit timetable.</w:t>
      </w:r>
    </w:p>
    <w:p>
      <w:pPr>
        <w:keepNext w:val="0"/>
      </w:pPr>
      <w:r>
        <w:t>The most defensible result is therefore layered: a probable Antiochene historical horizon, genuine later Danielic reuse, and a possible Christological pattern, without pretending that either a strictly exhausted historical model or a detailed modern Christian timetable is demonstrated. This judgment remains open to better textual or historical evidence.</w:t>
      </w:r>
    </w:p>
    <w:p>
      <w:r>
        <w:br w:type="page"/>
      </w:r>
    </w:p>
    <w:p>
      <w:pPr>
        <w:pStyle w:val="Heading1"/>
      </w:pPr>
      <w:r>
        <w:t>11. Competing-model matrix</w:t>
      </w:r>
    </w:p>
    <w:p>
      <w:pPr>
        <w:keepNext w:val="0"/>
      </w:pPr>
      <w:r>
        <w:t>The same sixteen fields are applied to every model. The matrix is transposed into readable two-column tables here; the accompanying CSV preserves all sixteen columns for direct comparison. These are representative model families, not a claim that every advocate uses identical dates or agents.</w:t>
      </w:r>
    </w:p>
    <w:p>
      <w:pPr>
        <w:pStyle w:val="Heading2"/>
      </w:pPr>
      <w:r>
        <w:t>1. Onias / Antiochus; sequential historical scheme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Onias / Antiochus; sequential historical scheme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Jeremiah’s restoration word, often associated with 587/586 BC.</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Exile-to-restoration: 587–538 approximately 49 years.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Restoration to Onias; schematic 434, historically about 367 years from 538 to 171.</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Cyrus (or Joshua); then Onias III.</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Onias murdered around 171/170 BC.</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Antiochus IV, his forces and allied Hellenizers.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Approximately 171–164 BC.</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Suppression of Jewish cult under Antiochus.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Pagan profanation/installation in the sanctuary.</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Temple restoration and the oppressor’s end, with the final hope potentially exceeding these.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Split after seven; anointed priest; local cultic language; links to Daniel 11.</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Close sequence of priestly murder, alliance, violence, halted worship and restoration.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Early Maccabean application; allows later Gospel reuse as escalation.</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Large numerical shortfall; three versus three-and-a-half years; temple not demolished as in AD 70; verse 24 not exhausted.</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Schematic/compressed chronology; approximate final week; broader final horizon if full objectives retained.</w:t>
            </w:r>
          </w:p>
        </w:tc>
      </w:tr>
    </w:tbl>
    <w:p>
      <w:pPr>
        <w:keepNext w:val="0"/>
      </w:pPr>
      <w:r/>
    </w:p>
    <w:p>
      <w:r>
        <w:br w:type="page"/>
      </w:r>
    </w:p>
    <w:p>
      <w:pPr>
        <w:pStyle w:val="Heading2"/>
      </w:pPr>
      <w:r>
        <w:t>2. Jesus; continuous Ezra-based final week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Jesus; continuous Ezra-based final week</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Artaxerxes VII / Ezra 7, 458 or 457 BC.</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Initial 49 years of restoration, often to 409/408; endpoint not securely marked.</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Joins first seven to reach 483 years, AD 26/27.</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One figure, Jesus, across verses 25–26.</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Jesus’ crucifixion within or after the final week.</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Roman ruler/armies for destruction, with Jesus as covenant-maker in verse 27.</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Jesus’ ministry and its immediate continuation; specific AD 27–34 version varies.</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Cross ends sacrifice’s saving necessity; actual temple sacrifices continue until AD 70.</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Roman devastation as consequence or later horizon.</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Saving accomplishment in Christ; particular schemes close with early mission or Stephen.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Joined reading possible; after allows death later than arrival.</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Ezra authorization is real; death of Jesus precedes AD 70.</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Atonement and new covenant strongly fit Christian theology.</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Baptism dating; weak 49-year marker; no explicit AD 34/Stephen terminus; shift from physical cessation to theological sufficiency.</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Joined segmentation; Jesus identity; earlier ministry chronology; verse 27 subject change; AD 70 outside the continuous week.</w:t>
            </w:r>
          </w:p>
        </w:tc>
      </w:tr>
    </w:tbl>
    <w:p>
      <w:pPr>
        <w:keepNext w:val="0"/>
      </w:pPr>
      <w:r/>
    </w:p>
    <w:p>
      <w:r>
        <w:br w:type="page"/>
      </w:r>
    </w:p>
    <w:p>
      <w:pPr>
        <w:pStyle w:val="Heading2"/>
      </w:pPr>
      <w:r>
        <w:t>3. Jesus; Nehemiah-based 69 weeks, future final week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Jesus; Nehemiah-based 69 weeks, future final week</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Nehemiah 2, twentieth year, 445/444 BC.</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49 years of rebuilding; exact completion boundary uncertain.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69 combined year-weeks converted into 173,880 days, ending near AD 32/33.</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Jesus for both anointed references.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Crucifixion after 69, before future week.</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Future hostile ruler associated with the Roman destroying people.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Future seven-year covenant and tribulation after a long interval.</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Future ruler stops renewed temple worship halfway through.</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Future sanctuary profanation, with AD 70 often preliminary.</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Christ’s final victory and consummation of verse 24.</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Temporal after; bounded half-week; hostile nearest-ruler subject plausible.</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Nehemiah expressly concerns city rebuilding; Romans destroyed city and temple.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Final antagonist resembles 2 Thessalonians and Revelation; early Christians also had future-week readings.</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Unstated long gap, uncertain start day and entry date, uncommanded 360-day conversion, unestablished prince identity.</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Specific calendar; separated 69th/70th weeks; future temple/covenant system imported from wider prophecy.</w:t>
            </w:r>
          </w:p>
        </w:tc>
      </w:tr>
    </w:tbl>
    <w:p>
      <w:pPr>
        <w:keepNext w:val="0"/>
      </w:pPr>
      <w:r/>
    </w:p>
    <w:p>
      <w:r>
        <w:br w:type="page"/>
      </w:r>
    </w:p>
    <w:p>
      <w:pPr>
        <w:pStyle w:val="Heading2"/>
      </w:pPr>
      <w:r>
        <w:t>4. Christological symbolic / sabbatical fulfillment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Christological symbolic / sabbatical fulfillment</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Cyrus or the prophetic restoration word.</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Restoration phase rather than demonstrated exact 49-year construction interval.</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Long troubled restoration period, joined or distinguished according to version.</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Christ as ultimate anointed ruler; some allow an earlier restoration figure.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Death of Jesus as climactic anointed loss.</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Roman destroyer, or a recurring/final hostile ruler.</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Christ’s saving work and/or final epoch, read schematically.</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Cross fulfills sacrifice; destruction or final oppression may also embody cessation.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Roman crisis or recurring desolation reaching final judgment.</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Inaugurated salvation in Christ and final consummation.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Sabbatical numbers and theological objectives matter; avoids pretending date precision.</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Cyrus’s restorative role and Jesus’ pre-AD 70 death are secure broad correspondences.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Atonement, kingdom and limited oppression converge in the NT.</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May under-explain 7/62/1 distinctions and vary temporal scale to absorb difficulties.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A symbolic chronology and canonical extension; exact construction must be specified rather than left elastic.</w:t>
            </w:r>
          </w:p>
        </w:tc>
      </w:tr>
    </w:tbl>
    <w:p>
      <w:pPr>
        <w:keepNext w:val="0"/>
      </w:pPr>
      <w:r/>
    </w:p>
    <w:p>
      <w:r>
        <w:br w:type="page"/>
      </w:r>
    </w:p>
    <w:p>
      <w:pPr>
        <w:pStyle w:val="Heading2"/>
      </w:pPr>
      <w:r>
        <w:t>5. Jewish / Roman destruction; priestly or royal removal</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Jewish / Roman destruction; priestly or royal removal</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Jeremiah/exile/restoration according to the particular scheme.</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Cyrus/restoration, often tied to compressed exile chronology.</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Second Temple history, with compressed Persian years in rabbinic systems.</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Cyrus first; later priest/office, Ananus, or Agrippa in different proposals.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Loss of priestly leadership; Ananus AD 68 is historically closer than Agrippa alternatives.</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Titus or Vespasian and Roman armies.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Last years of conflict, sometimes extended through later Roman devastation.</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Actual cessation during siege in AD 70; not demonstrably 3.5 years beforehand.</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Roman desecration; some later readings include Hadrian’s installations.</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AD 70, or later Roman aftermath with eventual restoration.</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Two figures; city and sanctuary as physically ruined objects.</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Actual temple destruction; violent priestly deaths preceding it.</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Fits Gospel Jerusalem/desolation application; does not identify Jesus as cut-off figure.</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No secure 490-year elapsed span, weak seven-year covenant evidence, anointed identity disputed.</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Compressed chronology or symbolic years; selection among Roman crises and priestly figures.</w:t>
            </w:r>
          </w:p>
        </w:tc>
      </w:tr>
    </w:tbl>
    <w:p>
      <w:pPr>
        <w:keepNext w:val="0"/>
      </w:pPr>
      <w:r/>
    </w:p>
    <w:p>
      <w:r>
        <w:br w:type="page"/>
      </w:r>
    </w:p>
    <w:p>
      <w:pPr>
        <w:pStyle w:val="Heading2"/>
      </w:pPr>
      <w:r>
        <w:t>6. Jesus / AD 70 with a separated Roman final week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632"/>
      </w:tblGrid>
      <w:tr>
        <w:trPr>
          <w:tblHeader/>
          <w:cantSplit/>
        </w:trPr>
        <w:tc>
          <w:tcPr>
            <w:tcW w:type="dxa" w:w="2160"/>
            <w:vAlign w:val="center"/>
            <w:tcMar>
              <w:top w:w="85" w:type="dxa"/>
              <w:left w:w="85" w:type="dxa"/>
              <w:bottom w:w="85" w:type="dxa"/>
              <w:right w:w="85" w:type="dxa"/>
            </w:tcMar>
            <w:shd w:fill="404040"/>
          </w:tcPr>
          <w:p>
            <w:pPr>
              <w:spacing w:before="40" w:after="40"/>
            </w:pPr>
            <w:r>
              <w:rPr>
                <w:b/>
                <w:color w:val="FFFFFF"/>
                <w:sz w:val="20"/>
              </w:rPr>
              <w:t>Field</w:t>
            </w:r>
          </w:p>
        </w:tc>
        <w:tc>
          <w:tcPr>
            <w:tcW w:type="dxa" w:w="7632"/>
            <w:vAlign w:val="center"/>
            <w:tcMar>
              <w:top w:w="85" w:type="dxa"/>
              <w:left w:w="85" w:type="dxa"/>
              <w:bottom w:w="85" w:type="dxa"/>
              <w:right w:w="85" w:type="dxa"/>
            </w:tcMar>
            <w:shd w:fill="404040"/>
          </w:tcPr>
          <w:p>
            <w:pPr>
              <w:spacing w:before="40" w:after="40"/>
            </w:pPr>
            <w:r>
              <w:rPr>
                <w:b/>
                <w:color w:val="FFFFFF"/>
                <w:sz w:val="20"/>
              </w:rPr>
              <w:t>Model account</w:t>
            </w:r>
          </w:p>
        </w:tc>
      </w:tr>
      <w:tr>
        <w:trPr>
          <w:cantSplit/>
        </w:trPr>
        <w:tc>
          <w:tcPr>
            <w:tcW w:type="dxa" w:w="2160"/>
            <w:vAlign w:val="center"/>
            <w:tcMar>
              <w:top w:w="85" w:type="dxa"/>
              <w:left w:w="85" w:type="dxa"/>
              <w:bottom w:w="85" w:type="dxa"/>
              <w:right w:w="85" w:type="dxa"/>
            </w:tcMar>
          </w:tcPr>
          <w:p>
            <w:pPr>
              <w:spacing w:before="40" w:after="40"/>
            </w:pPr>
            <w:r>
              <w:rPr>
                <w:sz w:val="20"/>
              </w:rPr>
              <w:t>Interpretation</w:t>
            </w:r>
          </w:p>
        </w:tc>
        <w:tc>
          <w:tcPr>
            <w:tcW w:type="dxa" w:w="7632"/>
            <w:vAlign w:val="center"/>
            <w:tcMar>
              <w:top w:w="85" w:type="dxa"/>
              <w:left w:w="85" w:type="dxa"/>
              <w:bottom w:w="85" w:type="dxa"/>
              <w:right w:w="85" w:type="dxa"/>
            </w:tcMar>
          </w:tcPr>
          <w:p>
            <w:pPr>
              <w:spacing w:before="40" w:after="40"/>
            </w:pPr>
            <w:r>
              <w:rPr>
                <w:sz w:val="20"/>
              </w:rPr>
              <w:t>Jesus / AD 70 with a separated Roman final week</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Starting event</w:t>
            </w:r>
          </w:p>
        </w:tc>
        <w:tc>
          <w:tcPr>
            <w:tcW w:type="dxa" w:w="7632"/>
            <w:vAlign w:val="center"/>
            <w:tcMar>
              <w:top w:w="85" w:type="dxa"/>
              <w:left w:w="85" w:type="dxa"/>
              <w:bottom w:w="85" w:type="dxa"/>
              <w:right w:w="85" w:type="dxa"/>
            </w:tcMar>
            <w:shd w:fill="F6F6F6"/>
          </w:tcPr>
          <w:p>
            <w:pPr>
              <w:spacing w:before="40" w:after="40"/>
            </w:pPr>
            <w:r>
              <w:rPr>
                <w:sz w:val="20"/>
              </w:rPr>
              <w:t>Usually Persian authorization or restoration word; varies.</w:t>
            </w:r>
          </w:p>
        </w:tc>
      </w:tr>
      <w:tr>
        <w:trPr>
          <w:cantSplit/>
        </w:trPr>
        <w:tc>
          <w:tcPr>
            <w:tcW w:type="dxa" w:w="2160"/>
            <w:vAlign w:val="center"/>
            <w:tcMar>
              <w:top w:w="85" w:type="dxa"/>
              <w:left w:w="85" w:type="dxa"/>
              <w:bottom w:w="85" w:type="dxa"/>
              <w:right w:w="85" w:type="dxa"/>
            </w:tcMar>
          </w:tcPr>
          <w:p>
            <w:pPr>
              <w:spacing w:before="40" w:after="40"/>
            </w:pPr>
            <w:r>
              <w:rPr>
                <w:sz w:val="20"/>
              </w:rPr>
              <w:t>First seven weeks</w:t>
            </w:r>
          </w:p>
        </w:tc>
        <w:tc>
          <w:tcPr>
            <w:tcW w:type="dxa" w:w="7632"/>
            <w:vAlign w:val="center"/>
            <w:tcMar>
              <w:top w:w="85" w:type="dxa"/>
              <w:left w:w="85" w:type="dxa"/>
              <w:bottom w:w="85" w:type="dxa"/>
              <w:right w:w="85" w:type="dxa"/>
            </w:tcMar>
          </w:tcPr>
          <w:p>
            <w:pPr>
              <w:spacing w:before="40" w:after="40"/>
            </w:pPr>
            <w:r>
              <w:rPr>
                <w:sz w:val="20"/>
              </w:rPr>
              <w:t>Restoration phase, either measured or schematic.</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Sixty-two weeks</w:t>
            </w:r>
          </w:p>
        </w:tc>
        <w:tc>
          <w:tcPr>
            <w:tcW w:type="dxa" w:w="7632"/>
            <w:vAlign w:val="center"/>
            <w:tcMar>
              <w:top w:w="85" w:type="dxa"/>
              <w:left w:w="85" w:type="dxa"/>
              <w:bottom w:w="85" w:type="dxa"/>
              <w:right w:w="85" w:type="dxa"/>
            </w:tcMar>
            <w:shd w:fill="F6F6F6"/>
          </w:tcPr>
          <w:p>
            <w:pPr>
              <w:spacing w:before="40" w:after="40"/>
            </w:pPr>
            <w:r>
              <w:rPr>
                <w:sz w:val="20"/>
              </w:rPr>
              <w:t>69-week span interpreted as reaching Jesus.</w:t>
            </w:r>
          </w:p>
        </w:tc>
      </w:tr>
      <w:tr>
        <w:trPr>
          <w:cantSplit/>
        </w:trPr>
        <w:tc>
          <w:tcPr>
            <w:tcW w:type="dxa" w:w="2160"/>
            <w:vAlign w:val="center"/>
            <w:tcMar>
              <w:top w:w="85" w:type="dxa"/>
              <w:left w:w="85" w:type="dxa"/>
              <w:bottom w:w="85" w:type="dxa"/>
              <w:right w:w="85" w:type="dxa"/>
            </w:tcMar>
          </w:tcPr>
          <w:p>
            <w:pPr>
              <w:spacing w:before="40" w:after="40"/>
            </w:pPr>
            <w:r>
              <w:rPr>
                <w:sz w:val="20"/>
              </w:rPr>
              <w:t>Identity of anointed one(s)</w:t>
            </w:r>
          </w:p>
        </w:tc>
        <w:tc>
          <w:tcPr>
            <w:tcW w:type="dxa" w:w="7632"/>
            <w:vAlign w:val="center"/>
            <w:tcMar>
              <w:top w:w="85" w:type="dxa"/>
              <w:left w:w="85" w:type="dxa"/>
              <w:bottom w:w="85" w:type="dxa"/>
              <w:right w:w="85" w:type="dxa"/>
            </w:tcMar>
          </w:tcPr>
          <w:p>
            <w:pPr>
              <w:spacing w:before="40" w:after="40"/>
            </w:pPr>
            <w:r>
              <w:rPr>
                <w:sz w:val="20"/>
              </w:rPr>
              <w:t>Jesus as cut-off anointed one.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Cutting off</w:t>
            </w:r>
          </w:p>
        </w:tc>
        <w:tc>
          <w:tcPr>
            <w:tcW w:type="dxa" w:w="7632"/>
            <w:vAlign w:val="center"/>
            <w:tcMar>
              <w:top w:w="85" w:type="dxa"/>
              <w:left w:w="85" w:type="dxa"/>
              <w:bottom w:w="85" w:type="dxa"/>
              <w:right w:w="85" w:type="dxa"/>
            </w:tcMar>
            <w:shd w:fill="F6F6F6"/>
          </w:tcPr>
          <w:p>
            <w:pPr>
              <w:spacing w:before="40" w:after="40"/>
            </w:pPr>
            <w:r>
              <w:rPr>
                <w:sz w:val="20"/>
              </w:rPr>
              <w:t>Crucifixion around AD 30/33.</w:t>
            </w:r>
          </w:p>
        </w:tc>
      </w:tr>
      <w:tr>
        <w:trPr>
          <w:cantSplit/>
        </w:trPr>
        <w:tc>
          <w:tcPr>
            <w:tcW w:type="dxa" w:w="2160"/>
            <w:vAlign w:val="center"/>
            <w:tcMar>
              <w:top w:w="85" w:type="dxa"/>
              <w:left w:w="85" w:type="dxa"/>
              <w:bottom w:w="85" w:type="dxa"/>
              <w:right w:w="85" w:type="dxa"/>
            </w:tcMar>
          </w:tcPr>
          <w:p>
            <w:pPr>
              <w:spacing w:before="40" w:after="40"/>
            </w:pPr>
            <w:r>
              <w:rPr>
                <w:sz w:val="20"/>
              </w:rPr>
              <w:t>Prince who comes</w:t>
            </w:r>
          </w:p>
        </w:tc>
        <w:tc>
          <w:tcPr>
            <w:tcW w:type="dxa" w:w="7632"/>
            <w:vAlign w:val="center"/>
            <w:tcMar>
              <w:top w:w="85" w:type="dxa"/>
              <w:left w:w="85" w:type="dxa"/>
              <w:bottom w:w="85" w:type="dxa"/>
              <w:right w:w="85" w:type="dxa"/>
            </w:tcMar>
          </w:tcPr>
          <w:p>
            <w:pPr>
              <w:spacing w:before="40" w:after="40"/>
            </w:pPr>
            <w:r>
              <w:rPr>
                <w:sz w:val="20"/>
              </w:rPr>
              <w:t>Roman ruler/armies.</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Final week</w:t>
            </w:r>
          </w:p>
        </w:tc>
        <w:tc>
          <w:tcPr>
            <w:tcW w:type="dxa" w:w="7632"/>
            <w:vAlign w:val="center"/>
            <w:tcMar>
              <w:top w:w="85" w:type="dxa"/>
              <w:left w:w="85" w:type="dxa"/>
              <w:bottom w:w="85" w:type="dxa"/>
              <w:right w:w="85" w:type="dxa"/>
            </w:tcMar>
            <w:shd w:fill="F6F6F6"/>
          </w:tcPr>
          <w:p>
            <w:pPr>
              <w:spacing w:before="40" w:after="40"/>
            </w:pPr>
            <w:r>
              <w:rPr>
                <w:sz w:val="20"/>
              </w:rPr>
              <w:t>Jewish war around AD 66–73; not continuous with ministry.</w:t>
            </w:r>
          </w:p>
        </w:tc>
      </w:tr>
      <w:tr>
        <w:trPr>
          <w:cantSplit/>
        </w:trPr>
        <w:tc>
          <w:tcPr>
            <w:tcW w:type="dxa" w:w="2160"/>
            <w:vAlign w:val="center"/>
            <w:tcMar>
              <w:top w:w="85" w:type="dxa"/>
              <w:left w:w="85" w:type="dxa"/>
              <w:bottom w:w="85" w:type="dxa"/>
              <w:right w:w="85" w:type="dxa"/>
            </w:tcMar>
          </w:tcPr>
          <w:p>
            <w:pPr>
              <w:spacing w:before="40" w:after="40"/>
            </w:pPr>
            <w:r>
              <w:rPr>
                <w:sz w:val="20"/>
              </w:rPr>
              <w:t>Stopping sacrifice</w:t>
            </w:r>
          </w:p>
        </w:tc>
        <w:tc>
          <w:tcPr>
            <w:tcW w:type="dxa" w:w="7632"/>
            <w:vAlign w:val="center"/>
            <w:tcMar>
              <w:top w:w="85" w:type="dxa"/>
              <w:left w:w="85" w:type="dxa"/>
              <w:bottom w:w="85" w:type="dxa"/>
              <w:right w:w="85" w:type="dxa"/>
            </w:tcMar>
          </w:tcPr>
          <w:p>
            <w:pPr>
              <w:spacing w:before="40" w:after="40"/>
            </w:pPr>
            <w:r>
              <w:rPr>
                <w:sz w:val="20"/>
              </w:rPr>
              <w:t>Siege cessation in AD 70.</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Abomination/desolation</w:t>
            </w:r>
          </w:p>
        </w:tc>
        <w:tc>
          <w:tcPr>
            <w:tcW w:type="dxa" w:w="7632"/>
            <w:vAlign w:val="center"/>
            <w:tcMar>
              <w:top w:w="85" w:type="dxa"/>
              <w:left w:w="85" w:type="dxa"/>
              <w:bottom w:w="85" w:type="dxa"/>
              <w:right w:w="85" w:type="dxa"/>
            </w:tcMar>
            <w:shd w:fill="F6F6F6"/>
          </w:tcPr>
          <w:p>
            <w:pPr>
              <w:spacing w:before="40" w:after="40"/>
            </w:pPr>
            <w:r>
              <w:rPr>
                <w:sz w:val="20"/>
              </w:rPr>
              <w:t>Roman assault and desecration.</w:t>
            </w:r>
          </w:p>
        </w:tc>
      </w:tr>
      <w:tr>
        <w:trPr>
          <w:cantSplit/>
        </w:trPr>
        <w:tc>
          <w:tcPr>
            <w:tcW w:type="dxa" w:w="2160"/>
            <w:vAlign w:val="center"/>
            <w:tcMar>
              <w:top w:w="85" w:type="dxa"/>
              <w:left w:w="85" w:type="dxa"/>
              <w:bottom w:w="85" w:type="dxa"/>
              <w:right w:w="85" w:type="dxa"/>
            </w:tcMar>
          </w:tcPr>
          <w:p>
            <w:pPr>
              <w:spacing w:before="40" w:after="40"/>
            </w:pPr>
            <w:r>
              <w:rPr>
                <w:sz w:val="20"/>
              </w:rPr>
              <w:t>Endpoint</w:t>
            </w:r>
          </w:p>
        </w:tc>
        <w:tc>
          <w:tcPr>
            <w:tcW w:type="dxa" w:w="7632"/>
            <w:vAlign w:val="center"/>
            <w:tcMar>
              <w:top w:w="85" w:type="dxa"/>
              <w:left w:w="85" w:type="dxa"/>
              <w:bottom w:w="85" w:type="dxa"/>
              <w:right w:w="85" w:type="dxa"/>
            </w:tcMar>
          </w:tcPr>
          <w:p>
            <w:pPr>
              <w:spacing w:before="40" w:after="40"/>
            </w:pPr>
            <w:r>
              <w:rPr>
                <w:sz w:val="20"/>
              </w:rPr>
              <w:t>Fall of Jerusalem and war’s aftermath, with verse 24 read through Christ.</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Hebrew strengths</w:t>
            </w:r>
          </w:p>
        </w:tc>
        <w:tc>
          <w:tcPr>
            <w:tcW w:type="dxa" w:w="7632"/>
            <w:vAlign w:val="center"/>
            <w:tcMar>
              <w:top w:w="85" w:type="dxa"/>
              <w:left w:w="85" w:type="dxa"/>
              <w:bottom w:w="85" w:type="dxa"/>
              <w:right w:w="85" w:type="dxa"/>
            </w:tcMar>
            <w:shd w:fill="F6F6F6"/>
          </w:tcPr>
          <w:p>
            <w:pPr>
              <w:spacing w:before="40" w:after="40"/>
            </w:pPr>
            <w:r>
              <w:rPr>
                <w:sz w:val="20"/>
              </w:rPr>
              <w:t>After permits later destruction; actual sacrifice ceases in the narrated war.</w:t>
            </w:r>
          </w:p>
        </w:tc>
      </w:tr>
      <w:tr>
        <w:trPr>
          <w:cantSplit/>
        </w:trPr>
        <w:tc>
          <w:tcPr>
            <w:tcW w:type="dxa" w:w="2160"/>
            <w:vAlign w:val="center"/>
            <w:tcMar>
              <w:top w:w="85" w:type="dxa"/>
              <w:left w:w="85" w:type="dxa"/>
              <w:bottom w:w="85" w:type="dxa"/>
              <w:right w:w="85" w:type="dxa"/>
            </w:tcMar>
          </w:tcPr>
          <w:p>
            <w:pPr>
              <w:spacing w:before="40" w:after="40"/>
            </w:pPr>
            <w:r>
              <w:rPr>
                <w:sz w:val="20"/>
              </w:rPr>
              <w:t>Historical strengths</w:t>
            </w:r>
          </w:p>
        </w:tc>
        <w:tc>
          <w:tcPr>
            <w:tcW w:type="dxa" w:w="7632"/>
            <w:vAlign w:val="center"/>
            <w:tcMar>
              <w:top w:w="85" w:type="dxa"/>
              <w:left w:w="85" w:type="dxa"/>
              <w:bottom w:w="85" w:type="dxa"/>
              <w:right w:w="85" w:type="dxa"/>
            </w:tcMar>
          </w:tcPr>
          <w:p>
            <w:pPr>
              <w:spacing w:before="40" w:after="40"/>
            </w:pPr>
            <w:r>
              <w:rPr>
                <w:sz w:val="20"/>
              </w:rPr>
              <w:t>Jesus dies before Roman destruction; war provides a roughly seven-year setting.</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NT/canonical strengths</w:t>
            </w:r>
          </w:p>
        </w:tc>
        <w:tc>
          <w:tcPr>
            <w:tcW w:type="dxa" w:w="7632"/>
            <w:vAlign w:val="center"/>
            <w:tcMar>
              <w:top w:w="85" w:type="dxa"/>
              <w:left w:w="85" w:type="dxa"/>
              <w:bottom w:w="85" w:type="dxa"/>
              <w:right w:w="85" w:type="dxa"/>
            </w:tcMar>
            <w:shd w:fill="F6F6F6"/>
          </w:tcPr>
          <w:p>
            <w:pPr>
              <w:spacing w:before="40" w:after="40"/>
            </w:pPr>
            <w:r>
              <w:rPr>
                <w:sz w:val="20"/>
              </w:rPr>
              <w:t>Strong connection to the Gospel’s Jerusalem warning and Christian atonement.</w:t>
            </w:r>
          </w:p>
        </w:tc>
      </w:tr>
      <w:tr>
        <w:trPr>
          <w:cantSplit/>
        </w:trPr>
        <w:tc>
          <w:tcPr>
            <w:tcW w:type="dxa" w:w="2160"/>
            <w:vAlign w:val="center"/>
            <w:tcMar>
              <w:top w:w="85" w:type="dxa"/>
              <w:left w:w="85" w:type="dxa"/>
              <w:bottom w:w="85" w:type="dxa"/>
              <w:right w:w="85" w:type="dxa"/>
            </w:tcMar>
          </w:tcPr>
          <w:p>
            <w:pPr>
              <w:spacing w:before="40" w:after="40"/>
            </w:pPr>
            <w:r>
              <w:rPr>
                <w:sz w:val="20"/>
              </w:rPr>
              <w:t>Major weaknesses</w:t>
            </w:r>
          </w:p>
        </w:tc>
        <w:tc>
          <w:tcPr>
            <w:tcW w:type="dxa" w:w="7632"/>
            <w:vAlign w:val="center"/>
            <w:tcMar>
              <w:top w:w="85" w:type="dxa"/>
              <w:left w:w="85" w:type="dxa"/>
              <w:bottom w:w="85" w:type="dxa"/>
              <w:right w:w="85" w:type="dxa"/>
            </w:tcMar>
          </w:tcPr>
          <w:p>
            <w:pPr>
              <w:spacing w:before="40" w:after="40"/>
            </w:pPr>
            <w:r>
              <w:rPr>
                <w:sz w:val="20"/>
              </w:rPr>
              <w:t>Decades-long interval not marked; exact war boundaries and covenant lack secure fit; 66–73 midpoint not automatically cessation date.</w:t>
            </w:r>
          </w:p>
        </w:tc>
      </w:tr>
      <w:tr>
        <w:trPr>
          <w:cantSplit/>
        </w:trPr>
        <w:tc>
          <w:tcPr>
            <w:tcW w:type="dxa" w:w="2160"/>
            <w:vAlign w:val="center"/>
            <w:tcMar>
              <w:top w:w="85" w:type="dxa"/>
              <w:left w:w="85" w:type="dxa"/>
              <w:bottom w:w="85" w:type="dxa"/>
              <w:right w:w="85" w:type="dxa"/>
            </w:tcMar>
            <w:shd w:fill="F6F6F6"/>
          </w:tcPr>
          <w:p>
            <w:pPr>
              <w:spacing w:before="40" w:after="40"/>
            </w:pPr>
            <w:r>
              <w:rPr>
                <w:sz w:val="20"/>
              </w:rPr>
              <w:t>Assumptions required</w:t>
            </w:r>
          </w:p>
        </w:tc>
        <w:tc>
          <w:tcPr>
            <w:tcW w:type="dxa" w:w="7632"/>
            <w:vAlign w:val="center"/>
            <w:tcMar>
              <w:top w:w="85" w:type="dxa"/>
              <w:left w:w="85" w:type="dxa"/>
              <w:bottom w:w="85" w:type="dxa"/>
              <w:right w:w="85" w:type="dxa"/>
            </w:tcMar>
            <w:shd w:fill="F6F6F6"/>
          </w:tcPr>
          <w:p>
            <w:pPr>
              <w:spacing w:before="40" w:after="40"/>
            </w:pPr>
            <w:r>
              <w:rPr>
                <w:sz w:val="20"/>
              </w:rPr>
              <w:t>A gap shorter than futurism but still real; mixed Christological and Roman agents; an independently chosen 69-week chronology.</w:t>
            </w:r>
          </w:p>
        </w:tc>
      </w:tr>
    </w:tbl>
    <w:p>
      <w:pPr>
        <w:keepNext w:val="0"/>
      </w:pPr>
      <w:r/>
    </w:p>
    <w:p>
      <w:pPr>
        <w:pStyle w:val="Heading1"/>
      </w:pPr>
      <w:r>
        <w:t>12. Active disconfirmation and strongest replies</w:t>
      </w:r>
    </w:p>
    <w:p>
      <w:pPr>
        <w:pStyle w:val="Heading2"/>
      </w:pPr>
      <w:r>
        <w:t>The strongest case against a direct prediction of Jesus</w:t>
      </w:r>
    </w:p>
    <w:p>
      <w:pPr>
        <w:keepNext w:val="0"/>
      </w:pPr>
      <w:r>
        <w:t>First, read the text without Christian capitals: two anointed persons, a restored city, a priest removed, interrupted sacrifice and desolation fit the book’s own Antiochene material. Second, the text does not make the death vicarious. Third, the 483-year calculation depends on a disputed parse and start; Nehemiah needs an additional calendar conversion. Fourth, the New Testament never supplies the missing identification. Fifth, a future final-week model adds an interval and political scenario not stated here.</w:t>
      </w:r>
    </w:p>
    <w:p>
      <w:pPr>
        <w:keepNext w:val="0"/>
      </w:pPr>
      <w:r>
        <w:t>The strongest Christian reply is cumulative rather than lexical: the extraordinary objectives of verse 24, a death preceding Jerusalem’s destruction, Jesus’ reuse of Daniel and the Gospel’s covenant/atonement converge meaningfully. Predictive prophecy is not excluded merely because it reaches beyond the book’s nearest historical crisis. That reply sustains a serious Christian reading, but it does not determine the decree, date or identity with the precision demanded by the public proof claim.</w:t>
      </w:r>
    </w:p>
    <w:p>
      <w:pPr>
        <w:pStyle w:val="Heading2"/>
      </w:pPr>
      <w:r>
        <w:t>The strongest case against an exhaustive Onias / Antiochus reading</w:t>
      </w:r>
    </w:p>
    <w:p>
      <w:pPr>
        <w:keepNext w:val="0"/>
      </w:pPr>
      <w:r>
        <w:t>Its sixty-two weeks do not equal the measured interval from restoration to Onias. Temple desecration is not the same event as the Roman destruction. The usual altar-to-rededication dates yield three years, not three and a half. Enduring righteousness and the final resolution of sin are not completed in 164 BC, and the New Testament reuses Danielic desolation for later events. An explanation that calls all these difficulties immaterial would be protecting the hypothesis from testing.</w:t>
      </w:r>
    </w:p>
    <w:p>
      <w:pPr>
        <w:keepNext w:val="0"/>
      </w:pPr>
      <w:r>
        <w:t>Its strongest reply is that apocalyptic numbers organize history schematically and that the local sequence and internal parallels identify the immediate crisis more securely than modern elapsed-year expectations. Real damage occurred in the Antiochene attack, and restoration can anticipate a greater divine consummation. This supports the probable proximate horizon. It does not prove a closed, exhaustively fulfilled 490-year timetable.</w:t>
      </w:r>
    </w:p>
    <w:p>
      <w:pPr>
        <w:pStyle w:val="Heading2"/>
      </w:pPr>
      <w:r>
        <w:t>Equal standards</w:t>
      </w:r>
    </w:p>
    <w:p>
      <w:pPr>
        <w:keepNext w:val="0"/>
      </w:pPr>
      <w:r>
        <w:t>A model may use symbolism, typology, inaugurated fulfillment or a later horizon if it argues for them from the text. Such moves have a cost: they weaken claims of exact chronological demonstration. One cannot call a Christian gap literary telescoping while dismissing every historical approximation as evasion, or defend schematic Antiochene years while rejecting all Christian canonical extension as illegitimate. Neither an author’s religious identity nor a presumed bias settles the evidence.</w:t>
      </w:r>
    </w:p>
    <w:p>
      <w:pPr>
        <w:keepNext w:val="0"/>
      </w:pPr>
      <w:r>
        <w:t>The verdict could change with stronger evidence for the original segmentation, a historically anchored starting word, or an unmistakable New Testament allusion identifying the cut-off figure. None has been demonstrated here. A better explanation of ancient Persian chronology could improve the historical scheme; it would not by itself erase the canon’s later use.</w:t>
      </w:r>
    </w:p>
    <w:p>
      <w:pPr>
        <w:pStyle w:val="Heading1"/>
      </w:pPr>
      <w:r>
        <w:t>13. Answers to the twelve central questions</w:t>
      </w:r>
    </w:p>
    <w:p>
      <w:pPr>
        <w:pStyle w:val="Heading2"/>
      </w:pPr>
      <w:r>
        <w:t>1. What are Daniel’s seventy weeks?</w:t>
      </w:r>
    </w:p>
    <w:p>
      <w:pPr>
        <w:keepNext w:val="0"/>
      </w:pPr>
      <w:r>
        <w:t>Seventy sevens, most naturally year-weeks: a 490-year-shaped sabbatical ordering of restoration, further judgment and final resolution of sin. They answer Daniel’s covenant prayer.</w:t>
      </w:r>
    </w:p>
    <w:p>
      <w:pPr>
        <w:pStyle w:val="Heading2"/>
      </w:pPr>
      <w:r>
        <w:t>2. What event most likely begins them?</w:t>
      </w:r>
    </w:p>
    <w:p>
      <w:pPr>
        <w:keepNext w:val="0"/>
      </w:pPr>
      <w:r>
        <w:t>The divine/prophetic restoration word is the strongest contextual class of start, with Jeremiah’s promise central. No single issuance date is secure. Cyrus is the strongest concrete restoration enactment; choosing him as the start differs from choosing him as the first anointed endpoint.</w:t>
      </w:r>
    </w:p>
    <w:p>
      <w:pPr>
        <w:pStyle w:val="Heading2"/>
      </w:pPr>
      <w:r>
        <w:t>3. Literal years, symbolic periods, or something more complex?</w:t>
      </w:r>
    </w:p>
    <w:p>
      <w:pPr>
        <w:keepNext w:val="0"/>
      </w:pPr>
      <w:r>
        <w:t>Years are strongly indicated, but the scheme is also theological and sabbatical. No measured chronology has been demonstrated for all its units. “Symbolic” should explain the form, not become a device for ignoring every numerical detail.</w:t>
      </w:r>
    </w:p>
    <w:p>
      <w:pPr>
        <w:pStyle w:val="Heading2"/>
      </w:pPr>
      <w:r>
        <w:t>4. One or two anointed figures?</w:t>
      </w:r>
    </w:p>
    <w:p>
      <w:pPr>
        <w:keepNext w:val="0"/>
      </w:pPr>
      <w:r>
        <w:t>Two is the more natural reading of the Masoretic division and the later reference to the sixty-two weeks. A joined, single-figure reading remains grammatically possible; the accents are evidence, not an original autograph punctuation mark.</w:t>
      </w:r>
    </w:p>
    <w:p>
      <w:pPr>
        <w:pStyle w:val="Heading2"/>
      </w:pPr>
      <w:r>
        <w:t>5. Who is most likely cut off?</w:t>
      </w:r>
    </w:p>
    <w:p>
      <w:pPr>
        <w:keepNext w:val="0"/>
      </w:pPr>
      <w:r>
        <w:t>Onias III is the strongest proximate historical candidate, given the priestly and Antiochene sequence. The identification is probable comparatively, not certain. Jesus and Roman-era priestly readings remain serious alternatives with different strengths.</w:t>
      </w:r>
    </w:p>
    <w:p>
      <w:pPr>
        <w:pStyle w:val="Heading2"/>
      </w:pPr>
      <w:r>
        <w:t>6. Does Daniel 9 genuinely point to Jesus?</w:t>
      </w:r>
    </w:p>
    <w:p>
      <w:pPr>
        <w:keepNext w:val="0"/>
      </w:pPr>
      <w:r>
        <w:t>Within a Christian reading of the canon, its hope of atonement and restoration reaches its decisive answer in Christ. The specific claim that verse 26 directly names him is not established. The passage-specific anointed-death correspondence remains a plausible echo.</w:t>
      </w:r>
    </w:p>
    <w:p>
      <w:pPr>
        <w:pStyle w:val="Heading2"/>
      </w:pPr>
      <w:r>
        <w:t>7. What kind of connection is it?</w:t>
      </w:r>
    </w:p>
    <w:p>
      <w:pPr>
        <w:keepNext w:val="0"/>
      </w:pPr>
      <w:r>
        <w:t>For TLW’s retained claim, Canonical Pattern is most responsible. Direct messianic prediction is a competing interpretation. An established personal type “Onias equals Jesus” would also overstate the New Testament evidence.</w:t>
      </w:r>
    </w:p>
    <w:p>
      <w:pPr>
        <w:pStyle w:val="Heading2"/>
      </w:pPr>
      <w:r>
        <w:t>8. Does it predict the timing of Jesus’ coming?</w:t>
      </w:r>
    </w:p>
    <w:p>
      <w:pPr>
        <w:keepNext w:val="0"/>
      </w:pPr>
      <w:r>
        <w:t>It orders divine restoration and crisis and can be read Christologically. It does not furnish an independently demonstrated date for Jesus. Under Ezra-based assumptions the result falls near the ministry era, but the required choices remain disputed.</w:t>
      </w:r>
    </w:p>
    <w:p>
      <w:pPr>
        <w:pStyle w:val="Heading2"/>
      </w:pPr>
      <w:r>
        <w:t>9. Can 483 years be demonstrated without special pleading?</w:t>
      </w:r>
    </w:p>
    <w:p>
      <w:pPr>
        <w:keepNext w:val="0"/>
      </w:pPr>
      <w:r>
        <w:t>The multiplication can; the historical identification cannot. The start, segmentation, arrival event, calendar and relation to the last week all need defense. No one selected sequence has been shown to follow uniquely from the text.</w:t>
      </w:r>
    </w:p>
    <w:p>
      <w:pPr>
        <w:pStyle w:val="Heading2"/>
      </w:pPr>
      <w:r>
        <w:t>10. Can an exact-day prediction responsibly be claimed?</w:t>
      </w:r>
    </w:p>
    <w:p>
      <w:pPr>
        <w:keepNext w:val="0"/>
      </w:pPr>
      <w:r>
        <w:t>No, as an established proof. Verdict: Unsustainable. Conditional date alignments may be described with their premises, but a chosen day and event cannot be presented as supplied by Daniel or securely dated by Nehemiah.</w:t>
      </w:r>
    </w:p>
    <w:p>
      <w:pPr>
        <w:pStyle w:val="Heading2"/>
      </w:pPr>
      <w:r>
        <w:t>11. What does the New Testament establish?</w:t>
      </w:r>
    </w:p>
    <w:p>
      <w:pPr>
        <w:keepNext w:val="0"/>
      </w:pPr>
      <w:r>
        <w:t>Jesus explicitly applies Danielic desolation to a later crisis. The NT establishes Christ’s atoning work and ultimate restoration from its own teaching. It does not explicitly identify Daniel 9:25–26’s anointed figure or compute the seventy weeks.</w:t>
      </w:r>
    </w:p>
    <w:p>
      <w:pPr>
        <w:pStyle w:val="Heading2"/>
      </w:pPr>
      <w:r>
        <w:t>12. What remains uncertain?</w:t>
      </w:r>
    </w:p>
    <w:p>
      <w:pPr>
        <w:keepNext w:val="0"/>
      </w:pPr>
      <w:r>
        <w:t>The starting word and date; one or two anointed figures; exact historical referents; original force of several difficult phrases; how schematic the periods are; the subject of verse 27; the extent of later fulfillment; and the precise relation of the six objectives to historical and final horizons.</w:t>
      </w:r>
    </w:p>
    <w:p>
      <w:pPr>
        <w:pStyle w:val="Heading1"/>
      </w:pPr>
      <w:r>
        <w:t>14. Final classification and publication decision</w:t>
      </w:r>
    </w:p>
    <w:p>
      <w:pPr>
        <w:keepNext w:val="0"/>
      </w:pPr>
      <w:r>
        <w:t>Primary connection type: Canonical Pattern. Credibility: Plausible Echo. This deliberately revises C42’s former primary label, Messianic Prophecy, while retaining its cautious credibility after fresh examination. The rated relationship is the possible contribution of Daniel 9’s anointed loss, atonement and restoration to the pattern brought into focus in Christ. It is not a disguised claim that Jesus’ direct identification has now been proved.</w:t>
      </w:r>
    </w:p>
    <w:p>
      <w:pPr>
        <w:keepNext w:val="0"/>
      </w:pPr>
      <w:r>
        <w:t>Why not Explicit? The NT does not identify this figure. Why not Strongly Established? The historical alternative and the missing passage-specific bridge remain substantial. Why not Excluded / Speculative for the whole connection? Its canonical themes, ancient Christian reception and Gospel use of the surrounding Danielic material give the Christian reading a controlled basis. The narrower exact-day proof is separately Excluded / Speculative.</w:t>
      </w:r>
    </w:p>
    <w:p>
      <w:pPr>
        <w:keepNext w:val="0"/>
      </w:pPr>
      <w:r>
        <w:t>One recommendation: C — Research Layer Only. The proposed public Journey already has clearer messianic and canonical connections. Giving this one a central scene or a brief persuasive countdown would either imply excessive certainty or require a disproportionate interruption. This is an editorial judgment about this Journey, not a prohibition on teaching Daniel 9 carefully.</w:t>
      </w:r>
    </w:p>
    <w:p>
      <w:pPr>
        <w:pStyle w:val="Heading2"/>
      </w:pPr>
      <w:r>
        <w:t>Look Closer candidates for a future separately authorized treatment</w:t>
      </w:r>
    </w:p>
    <w:p>
      <w:pPr>
        <w:keepNext w:val="0"/>
      </w:pPr>
      <w:r>
        <w:t>First priority, mashiaḥ: anointed one, with priestly/royal range and the article/capitalization limitation. Second, seven and sixty-two: show the two grammatical arrangements without pretending punctuation is neutral. Third, yikkarēt and weʾēn lo: distinguish removal and dispossession from an explicit statement of vicarious death. A fourth possibility, covenant-maker subject, is useful only if verse 27 receives enough attention to need it.</w:t>
      </w:r>
    </w:p>
    <w:p>
      <w:pPr>
        <w:keepNext w:val="0"/>
      </w:pPr>
      <w:r>
        <w:t>These are research recommendations, not final panel copy. No panel should turn Greek/Hebrew display into authority theatre. A lexicon gives possible senses; syntax, literary context and canonical evidence determine the argument. Under recommendation C, no public Look Closer implementation is being commissioned.</w:t>
      </w:r>
    </w:p>
    <w:p>
      <w:pPr>
        <w:pStyle w:val="Heading1"/>
      </w:pPr>
      <w:r>
        <w:t>15. Uncertainties, access limits and replacement record</w:t>
      </w:r>
    </w:p>
    <w:p>
      <w:pPr>
        <w:keepNext w:val="0"/>
      </w:pPr>
      <w:r>
        <w:t>This is a focused critical synthesis with independently recalculated arithmetic, not a new manuscript edition, a complete historical commentary on Daniel or a fresh astronomical reconstruction. Ordinary Persian and first-century dates are used as historically debated inputs. The exact ancient Judean calendar is not established by substituting a modern astronomical new-moon table.</w:t>
      </w:r>
    </w:p>
    <w:p>
      <w:pPr>
        <w:keepNext w:val="0"/>
      </w:pPr>
      <w:r>
        <w:t>The Hebrew text and named English translations were consulted. Greek witness differences were assessed through reproduced scholarly evidence; full Old Greek/Theodotion critical editions were not recovered. The 11Q13 scan was inspected, but no direct collation of the underlying manuscript photographs is claimed. CJSB commentary was unavailable.</w:t>
      </w:r>
    </w:p>
    <w:p>
      <w:pPr>
        <w:keepNext w:val="0"/>
      </w:pPr>
      <w:r>
        <w:t>Rashi, Josephus, Irenaeus, Hippolytus, Africanus and Jerome were read in accessible relevant portions. Seder Olam and the complete rabbinic corpus were not independently collated. Eusebius and Tertullian are represented through Jerome’s comparative report. Hoehner and Parker–Dubberstein calendrical tables were encountered through later discussion, not independently inspected in their original editions. Reported month-day alternatives from those tables do not control the verdict.</w:t>
      </w:r>
    </w:p>
    <w:p>
      <w:pPr>
        <w:keepNext w:val="0"/>
      </w:pPr>
      <w:r>
        <w:t>Full critical commentaries by Collins, Goldingay, Hartman/Di Lella and Newsom were not independently read. Their arguments where encountered inside consulted studies are not silently attributed to first-hand access. Segal’s full 2011 article and 2016 chapter were not accessible. These gaps limit a claim to exhaustive modern Jewish and critical scholarly coverage; they are disclosed rather than filled by invented summaries.</w:t>
      </w:r>
    </w:p>
    <w:p>
      <w:pPr>
        <w:keepNext w:val="0"/>
      </w:pPr>
      <w:r>
        <w:t>Updated replacements: the Foreshadowing Jesus Research and Journey Recommendations document, Evidence Ledger and Excluded Claims ledger now record the completed C42 audit and its publication decision. Other C01–C52 entries and R01–R18 claims remain intact. The package includes the unchanged Blueprint v2.4, this audit, the transposed sixteen-field model matrix, chronological calculations and the calculation script. No website or unrelated Blueprint governance has changed.</w:t>
      </w:r>
    </w:p>
    <w:p>
      <w:pPr>
        <w:keepNext w:val="0"/>
      </w:pPr>
      <w:r>
        <w:t>Founder review is the next step. This report recommends a classification and publication boundary; it does not authorize implementation.</w:t>
      </w:r>
    </w:p>
    <w:p>
      <w:pPr>
        <w:pStyle w:val="Heading1"/>
      </w:pPr>
      <w:r>
        <w:t>Bibliography and source record</w:t>
      </w:r>
    </w:p>
    <w:p>
      <w:pPr>
        <w:keepNext w:val="0"/>
      </w:pPr>
      <w:r>
        <w:t>URLs link to the specific reading or edition consulted. Biblical cross-references throughout are primary evidence; secondary notes, reception witnesses and modern arguments are distinguished in the text. Online sources were consulted in September 2026. Modern translation excerpts are minimal; the report principally paraphrases and supplies its own analysis and arithmetic.</w:t>
      </w:r>
    </w:p>
    <w:p>
      <w:pPr>
        <w:keepNext w:val="0"/>
      </w:pPr>
      <w:r>
        <w:t xml:space="preserve">1. [MT] Hebrew Bible. </w:t>
      </w:r>
      <w:hyperlink r:id="rId10">
        <w:r>
          <w:rPr>
            <w:color w:val="222222"/>
            <w:u w:val="single"/>
          </w:rPr>
          <w:t>Daniel 9, Masoretic Hebrew with JPS 1917 English</w:t>
        </w:r>
      </w:hyperlink>
      <w:r>
        <w:t>. Mechon Mamre; primary text.</w:t>
      </w:r>
    </w:p>
    <w:p>
      <w:pPr>
        <w:keepNext w:val="0"/>
      </w:pPr>
      <w:r>
        <w:t xml:space="preserve">2. [NET] NET Bible translators. </w:t>
      </w:r>
      <w:hyperlink r:id="rId11">
        <w:r>
          <w:rPr>
            <w:color w:val="222222"/>
            <w:u w:val="single"/>
          </w:rPr>
          <w:t>Daniel 9:24–27 and textual/translation notes</w:t>
        </w:r>
      </w:hyperlink>
      <w:r>
        <w:t>. online edition; notes consulted.</w:t>
      </w:r>
    </w:p>
    <w:p>
      <w:pPr>
        <w:keepNext w:val="0"/>
      </w:pPr>
      <w:r>
        <w:t xml:space="preserve">3. [ESV] ESV translators. </w:t>
      </w:r>
      <w:hyperlink r:id="rId12">
        <w:r>
          <w:rPr>
            <w:color w:val="222222"/>
            <w:u w:val="single"/>
          </w:rPr>
          <w:t>Daniel 9</w:t>
        </w:r>
      </w:hyperlink>
      <w:r>
        <w:t>. current online text.</w:t>
      </w:r>
    </w:p>
    <w:p>
      <w:pPr>
        <w:keepNext w:val="0"/>
      </w:pPr>
      <w:r>
        <w:t xml:space="preserve">4. [KJV] King James Version. </w:t>
      </w:r>
      <w:hyperlink r:id="rId13">
        <w:r>
          <w:rPr>
            <w:color w:val="222222"/>
            <w:u w:val="single"/>
          </w:rPr>
          <w:t>Daniel 9:25–27</w:t>
        </w:r>
      </w:hyperlink>
      <w:r>
        <w:t>. 1611 tradition; online text.</w:t>
      </w:r>
    </w:p>
    <w:p>
      <w:pPr>
        <w:keepNext w:val="0"/>
      </w:pPr>
      <w:r>
        <w:t xml:space="preserve">5. [NASB] NASB translators. </w:t>
      </w:r>
      <w:hyperlink r:id="rId14">
        <w:r>
          <w:rPr>
            <w:color w:val="222222"/>
            <w:u w:val="single"/>
          </w:rPr>
          <w:t>Daniel 9:25–27</w:t>
        </w:r>
      </w:hyperlink>
      <w:r>
        <w:t>. NASB 2020 online text.</w:t>
      </w:r>
    </w:p>
    <w:p>
      <w:pPr>
        <w:keepNext w:val="0"/>
      </w:pPr>
      <w:r>
        <w:t xml:space="preserve">6. [NIV] NIV translators. </w:t>
      </w:r>
      <w:hyperlink r:id="rId15">
        <w:r>
          <w:rPr>
            <w:color w:val="222222"/>
            <w:u w:val="single"/>
          </w:rPr>
          <w:t>Daniel 9</w:t>
        </w:r>
      </w:hyperlink>
      <w:r>
        <w:t>. NIV online text.</w:t>
      </w:r>
    </w:p>
    <w:p>
      <w:pPr>
        <w:keepNext w:val="0"/>
      </w:pPr>
      <w:r>
        <w:t xml:space="preserve">7. [NRSV] NRSV / NRSVue translators. </w:t>
      </w:r>
      <w:hyperlink r:id="rId16">
        <w:r>
          <w:rPr>
            <w:color w:val="222222"/>
            <w:u w:val="single"/>
          </w:rPr>
          <w:t>Daniel 9:25–27</w:t>
        </w:r>
      </w:hyperlink>
      <w:r>
        <w:t>. NRSVue online; older NRSV compared in NET parallel display.</w:t>
      </w:r>
    </w:p>
    <w:p>
      <w:pPr>
        <w:keepNext w:val="0"/>
      </w:pPr>
      <w:r>
        <w:t xml:space="preserve">8. [CJB] David H. Stern. </w:t>
      </w:r>
      <w:hyperlink r:id="rId17">
        <w:r>
          <w:rPr>
            <w:color w:val="222222"/>
            <w:u w:val="single"/>
          </w:rPr>
          <w:t>Complete Jewish Bible, Daniel 9:25–27</w:t>
        </w:r>
      </w:hyperlink>
      <w:r>
        <w:t>. translation consulted; CJSB study notes not accessed.</w:t>
      </w:r>
    </w:p>
    <w:p>
      <w:pPr>
        <w:keepNext w:val="0"/>
      </w:pPr>
      <w:r>
        <w:t xml:space="preserve">9. [NAB] NABRE editors. </w:t>
      </w:r>
      <w:hyperlink r:id="rId18">
        <w:r>
          <w:rPr>
            <w:color w:val="222222"/>
            <w:u w:val="single"/>
          </w:rPr>
          <w:t>Daniel 9 and explanatory notes</w:t>
        </w:r>
      </w:hyperlink>
      <w:r>
        <w:t>. USCCB; historical-critical Christian interpretation.</w:t>
      </w:r>
    </w:p>
    <w:p>
      <w:pPr>
        <w:keepNext w:val="0"/>
      </w:pPr>
      <w:r>
        <w:t xml:space="preserve">10. [ULR] Dean R. Ulrich. </w:t>
      </w:r>
      <w:hyperlink r:id="rId19">
        <w:r>
          <w:rPr>
            <w:color w:val="222222"/>
            <w:u w:val="single"/>
          </w:rPr>
          <w:t>How early Judaism read Daniel 9:24–27</w:t>
        </w:r>
      </w:hyperlink>
      <w:r>
        <w:t>. Old Testament Essays 27.3 (2014), 1062–1083; relevant full text.</w:t>
      </w:r>
    </w:p>
    <w:p>
      <w:pPr>
        <w:keepNext w:val="0"/>
      </w:pPr>
      <w:r>
        <w:t xml:space="preserve">11. [11Q] Florentino García Martínez and Eibert J. C. Tigchelaar, eds.. </w:t>
      </w:r>
      <w:hyperlink r:id="rId20">
        <w:r>
          <w:rPr>
            <w:color w:val="222222"/>
            <w:u w:val="single"/>
          </w:rPr>
          <w:t>The Dead Sea Scrolls Study Edition, 11Q13</w:t>
        </w:r>
      </w:hyperlink>
      <w:r>
        <w:t>. 1997–1998, pp. 1206–1209; scanned Hebrew/English pages inspected.</w:t>
      </w:r>
    </w:p>
    <w:p>
      <w:pPr>
        <w:keepNext w:val="0"/>
      </w:pPr>
      <w:r>
        <w:t xml:space="preserve">12. [DSS] DSS English Bible. </w:t>
      </w:r>
      <w:hyperlink r:id="rId21">
        <w:r>
          <w:rPr>
            <w:color w:val="222222"/>
            <w:u w:val="single"/>
          </w:rPr>
          <w:t>Daniel 9 manuscript coverage</w:t>
        </w:r>
      </w:hyperlink>
      <w:r>
        <w:t>. inventory, not a critical edition or manuscript collation.</w:t>
      </w:r>
    </w:p>
    <w:p>
      <w:pPr>
        <w:keepNext w:val="0"/>
      </w:pPr>
      <w:r>
        <w:t xml:space="preserve">13. [MAC1] 1 Maccabees. </w:t>
      </w:r>
      <w:hyperlink r:id="rId22">
        <w:r>
          <w:rPr>
            <w:color w:val="222222"/>
            <w:u w:val="single"/>
          </w:rPr>
          <w:t>Chapter 1</w:t>
        </w:r>
      </w:hyperlink>
      <w:r>
        <w:t>. ancient historical source; NABRE reading.</w:t>
      </w:r>
    </w:p>
    <w:p>
      <w:pPr>
        <w:keepNext w:val="0"/>
      </w:pPr>
      <w:r>
        <w:t xml:space="preserve">14. [MAC4] 1 Maccabees. </w:t>
      </w:r>
      <w:hyperlink r:id="rId23">
        <w:r>
          <w:rPr>
            <w:color w:val="222222"/>
            <w:u w:val="single"/>
          </w:rPr>
          <w:t>Chapter 4</w:t>
        </w:r>
      </w:hyperlink>
      <w:r>
        <w:t>. ancient historical source; NABRE reading.</w:t>
      </w:r>
    </w:p>
    <w:p>
      <w:pPr>
        <w:keepNext w:val="0"/>
      </w:pPr>
      <w:r>
        <w:t xml:space="preserve">15. [MAC2] 2 Maccabees. </w:t>
      </w:r>
      <w:hyperlink r:id="rId24">
        <w:r>
          <w:rPr>
            <w:color w:val="222222"/>
            <w:u w:val="single"/>
          </w:rPr>
          <w:t>Chapter 4</w:t>
        </w:r>
      </w:hyperlink>
      <w:r>
        <w:t>. ancient historical source; NABRE reading.</w:t>
      </w:r>
    </w:p>
    <w:p>
      <w:pPr>
        <w:keepNext w:val="0"/>
      </w:pPr>
      <w:r>
        <w:t xml:space="preserve">16. [JOA] Flavius Josephus. </w:t>
      </w:r>
      <w:hyperlink r:id="rId25">
        <w:r>
          <w:rPr>
            <w:color w:val="222222"/>
            <w:u w:val="single"/>
          </w:rPr>
          <w:t>Jewish Antiquities 10.11.7, §§276–281</w:t>
        </w:r>
      </w:hyperlink>
      <w:r>
        <w:t>. c. AD 93/94; William Whiston translation, public domain.</w:t>
      </w:r>
    </w:p>
    <w:p>
      <w:pPr>
        <w:keepNext w:val="0"/>
      </w:pPr>
      <w:r>
        <w:t xml:space="preserve">17. [JOW] Flavius Josephus. </w:t>
      </w:r>
      <w:hyperlink r:id="rId26">
        <w:r>
          <w:rPr>
            <w:color w:val="222222"/>
            <w:u w:val="single"/>
          </w:rPr>
          <w:t>Jewish War 4.5.2; 6.2.1; 6.5.4</w:t>
        </w:r>
      </w:hyperlink>
      <w:r>
        <w:t>. c. AD 75–79; Whiston translation, public domain.</w:t>
      </w:r>
    </w:p>
    <w:p>
      <w:pPr>
        <w:keepNext w:val="0"/>
      </w:pPr>
      <w:r>
        <w:t xml:space="preserve">18. [RASHI] Rashi. </w:t>
      </w:r>
      <w:hyperlink r:id="rId27">
        <w:r>
          <w:rPr>
            <w:color w:val="222222"/>
            <w:u w:val="single"/>
          </w:rPr>
          <w:t>Commentary on Daniel 9:24–27</w:t>
        </w:r>
      </w:hyperlink>
      <w:r>
        <w:t>. 11th century; Chabad Hebrew/English edition.</w:t>
      </w:r>
    </w:p>
    <w:p>
      <w:pPr>
        <w:keepNext w:val="0"/>
      </w:pPr>
      <w:r>
        <w:t xml:space="preserve">19. [AISH] Dovid Rosenfeld. </w:t>
      </w:r>
      <w:hyperlink r:id="rId28">
        <w:r>
          <w:rPr>
            <w:color w:val="222222"/>
            <w:u w:val="single"/>
          </w:rPr>
          <w:t>The Seventy Weeks of Daniel 9</w:t>
        </w:r>
      </w:hyperlink>
      <w:r>
        <w:t>. Aish, accessed September 2026; modern rabbinic apologetic, not representative of all Jewish scholarship.</w:t>
      </w:r>
    </w:p>
    <w:p>
      <w:pPr>
        <w:keepNext w:val="0"/>
      </w:pPr>
      <w:r>
        <w:t xml:space="preserve">20. [HIPP] Hippolytus. </w:t>
      </w:r>
      <w:hyperlink r:id="rId29">
        <w:r>
          <w:rPr>
            <w:color w:val="222222"/>
            <w:u w:val="single"/>
          </w:rPr>
          <w:t>On Daniel, second fragment §§11–22</w:t>
        </w:r>
      </w:hyperlink>
      <w:r>
        <w:t>. early 3rd century; ANF translation; relevant sections inspected.</w:t>
      </w:r>
    </w:p>
    <w:p>
      <w:pPr>
        <w:keepNext w:val="0"/>
      </w:pPr>
      <w:r>
        <w:t xml:space="preserve">21. [IREN] Irenaeus. </w:t>
      </w:r>
      <w:hyperlink r:id="rId30">
        <w:r>
          <w:rPr>
            <w:color w:val="222222"/>
            <w:u w:val="single"/>
          </w:rPr>
          <w:t>Against Heresies 5.25</w:t>
        </w:r>
      </w:hyperlink>
      <w:r>
        <w:t>. c. AD 180; ANF translation.</w:t>
      </w:r>
    </w:p>
    <w:p>
      <w:pPr>
        <w:keepNext w:val="0"/>
      </w:pPr>
      <w:r>
        <w:t xml:space="preserve">22. [AFR] Julius Africanus. </w:t>
      </w:r>
      <w:hyperlink r:id="rId31">
        <w:r>
          <w:rPr>
            <w:color w:val="222222"/>
            <w:u w:val="single"/>
          </w:rPr>
          <w:t>Chronography, fragment 16</w:t>
        </w:r>
      </w:hyperlink>
      <w:r>
        <w:t>. early 3rd century; surviving fragment, ANF translation.</w:t>
      </w:r>
    </w:p>
    <w:p>
      <w:pPr>
        <w:keepNext w:val="0"/>
      </w:pPr>
      <w:r>
        <w:t xml:space="preserve">23. [JER] Jerome. </w:t>
      </w:r>
      <w:hyperlink r:id="rId32">
        <w:r>
          <w:rPr>
            <w:color w:val="222222"/>
            <w:u w:val="single"/>
          </w:rPr>
          <w:t>Commentary on Daniel, chapter 9</w:t>
        </w:r>
      </w:hyperlink>
      <w:r>
        <w:t>. c. AD 407; Gleason L. Archer Jr. translation, 1958, pp. 95–110; reports several earlier systems.</w:t>
      </w:r>
    </w:p>
    <w:p>
      <w:pPr>
        <w:keepNext w:val="0"/>
      </w:pPr>
      <w:r>
        <w:t xml:space="preserve">24. [TAN] J. Paul Tanner. </w:t>
      </w:r>
      <w:hyperlink r:id="rId33">
        <w:r>
          <w:rPr>
            <w:color w:val="222222"/>
            <w:u w:val="single"/>
          </w:rPr>
          <w:t>Is Daniel’s Seventy-Weeks Prophecy Messianic? Part 1</w:t>
        </w:r>
      </w:hyperlink>
      <w:r>
        <w:t>. Bibliotheca Sacra 166 (2009); author article in accessible PDF reproduction.</w:t>
      </w:r>
    </w:p>
    <w:p>
      <w:pPr>
        <w:keepNext w:val="0"/>
      </w:pPr>
      <w:r>
        <w:t xml:space="preserve">25. [TANR] J. Paul Tanner. </w:t>
      </w:r>
      <w:hyperlink r:id="rId34">
        <w:r>
          <w:rPr>
            <w:color w:val="222222"/>
            <w:u w:val="single"/>
          </w:rPr>
          <w:t>Jerusalem in Daniel 9:26: Antiochene Corruption or Roman Destruction?</w:t>
        </w:r>
      </w:hyperlink>
      <w:r>
        <w:t>. author paper, accessible text; publication metadata not independently confirmed.</w:t>
      </w:r>
    </w:p>
    <w:p>
      <w:pPr>
        <w:keepNext w:val="0"/>
      </w:pPr>
      <w:r>
        <w:t xml:space="preserve">26. [POY] Vern S. Poythress. </w:t>
      </w:r>
      <w:hyperlink r:id="rId35">
        <w:r>
          <w:rPr>
            <w:color w:val="222222"/>
            <w:u w:val="single"/>
          </w:rPr>
          <w:t>Hermeneutical Factors in Determining the Beginning of the Seventy Weeks (Daniel 9:25)</w:t>
        </w:r>
      </w:hyperlink>
      <w:r>
        <w:t>. Trinity Journal 6.2 (1985), 131–149; author-hosted text.</w:t>
      </w:r>
    </w:p>
    <w:p>
      <w:pPr>
        <w:keepNext w:val="0"/>
      </w:pPr>
      <w:r>
        <w:t xml:space="preserve">27. [LAR] David Larson. </w:t>
      </w:r>
      <w:hyperlink r:id="rId36">
        <w:r>
          <w:rPr>
            <w:color w:val="222222"/>
            <w:u w:val="single"/>
          </w:rPr>
          <w:t>Approximate Fulfillment as the Key to Reconsidering the Decree of Cyrus as the Beginning Point of Daniel’s 70 Weeks</w:t>
        </w:r>
      </w:hyperlink>
      <w:r>
        <w:t>. JETS 65.3 (2022), 491–507; relevant full PDF.</w:t>
      </w:r>
    </w:p>
    <w:p>
      <w:pPr>
        <w:keepNext w:val="0"/>
      </w:pPr>
      <w:r>
        <w:t xml:space="preserve">28. [YOU] Rodger C. Young. </w:t>
      </w:r>
      <w:hyperlink r:id="rId37">
        <w:r>
          <w:rPr>
            <w:color w:val="222222"/>
            <w:u w:val="single"/>
          </w:rPr>
          <w:t>The Theological Problem Presented by the Exactness of Daniel’s 70 Weeks</w:t>
        </w:r>
      </w:hyperlink>
      <w:r>
        <w:t>. JETS 65.3 (2022), 473–489; PDF and author-hosted text consulted.</w:t>
      </w:r>
    </w:p>
    <w:p>
      <w:pPr>
        <w:keepNext w:val="0"/>
      </w:pPr>
      <w:r>
        <w:t xml:space="preserve">29. [AND] Sir Robert Anderson. </w:t>
      </w:r>
      <w:hyperlink r:id="rId38">
        <w:r>
          <w:rPr>
            <w:color w:val="222222"/>
            <w:u w:val="single"/>
          </w:rPr>
          <w:t>The Coming Prince, chapter X and notes</w:t>
        </w:r>
      </w:hyperlink>
      <w:r>
        <w:t>. first published 1881; online transcription of later edition; principal calculation inspected.</w:t>
      </w:r>
    </w:p>
    <w:p>
      <w:pPr>
        <w:keepNext w:val="0"/>
      </w:pPr>
      <w:r>
        <w:t xml:space="preserve">30. [CHASE] Mitchell L. Chase. </w:t>
      </w:r>
      <w:hyperlink r:id="rId39">
        <w:r>
          <w:rPr>
            <w:color w:val="222222"/>
            <w:u w:val="single"/>
          </w:rPr>
          <w:t>What Are the Seventy Weeks of Daniel? (Daniel 9)</w:t>
        </w:r>
      </w:hyperlink>
      <w:r>
        <w:t>. Crossway, 13 October 2018; author exposition.</w:t>
      </w:r>
    </w:p>
    <w:p>
      <w:pPr>
        <w:keepNext w:val="0"/>
      </w:pPr>
      <w:r>
        <w:t xml:space="preserve">31. [MAT] New Testament. </w:t>
      </w:r>
      <w:hyperlink r:id="rId40">
        <w:r>
          <w:rPr>
            <w:color w:val="222222"/>
            <w:u w:val="single"/>
          </w:rPr>
          <w:t>Matthew 24; compare 26:28</w:t>
        </w:r>
      </w:hyperlink>
      <w:r>
        <w:t>. primary Gospel evidence.</w:t>
      </w:r>
    </w:p>
    <w:p>
      <w:pPr>
        <w:keepNext w:val="0"/>
      </w:pPr>
      <w:r>
        <w:t xml:space="preserve">32. [MARK] New Testament. </w:t>
      </w:r>
      <w:hyperlink r:id="rId41">
        <w:r>
          <w:rPr>
            <w:color w:val="222222"/>
            <w:u w:val="single"/>
          </w:rPr>
          <w:t>Mark 13</w:t>
        </w:r>
      </w:hyperlink>
      <w:r>
        <w:t>. primary Gospel evidence.</w:t>
      </w:r>
    </w:p>
    <w:p>
      <w:pPr>
        <w:keepNext w:val="0"/>
      </w:pPr>
      <w:r>
        <w:t xml:space="preserve">33. [MARK14] New Testament. </w:t>
      </w:r>
      <w:hyperlink r:id="rId42">
        <w:r>
          <w:rPr>
            <w:color w:val="222222"/>
            <w:u w:val="single"/>
          </w:rPr>
          <w:t>Mark 14</w:t>
        </w:r>
      </w:hyperlink>
      <w:r>
        <w:t>. primary Gospel evidence.</w:t>
      </w:r>
    </w:p>
    <w:p>
      <w:pPr>
        <w:keepNext w:val="0"/>
      </w:pPr>
      <w:r>
        <w:t xml:space="preserve">34. [LUKE] New Testament. </w:t>
      </w:r>
      <w:hyperlink r:id="rId43">
        <w:r>
          <w:rPr>
            <w:color w:val="222222"/>
            <w:u w:val="single"/>
          </w:rPr>
          <w:t>Luke 21</w:t>
        </w:r>
      </w:hyperlink>
      <w:r>
        <w:t>. primary Gospel evidence.</w:t>
      </w:r>
    </w:p>
    <w:p>
      <w:pPr>
        <w:keepNext w:val="0"/>
      </w:pPr>
      <w:r>
        <w:t xml:space="preserve">35. [HEB] New Testament. </w:t>
      </w:r>
      <w:hyperlink r:id="rId44">
        <w:r>
          <w:rPr>
            <w:color w:val="222222"/>
            <w:u w:val="single"/>
          </w:rPr>
          <w:t>Hebrews 9</w:t>
        </w:r>
      </w:hyperlink>
      <w:r>
        <w:t>. primary canonical comparison.</w:t>
      </w:r>
    </w:p>
    <w:p>
      <w:pPr>
        <w:keepNext w:val="0"/>
      </w:pPr>
      <w:r>
        <w:t xml:space="preserve">36. [PAUL] New Testament. </w:t>
      </w:r>
      <w:hyperlink r:id="rId45">
        <w:r>
          <w:rPr>
            <w:color w:val="222222"/>
            <w:u w:val="single"/>
          </w:rPr>
          <w:t>2 Thessalonians 2</w:t>
        </w:r>
      </w:hyperlink>
      <w:r>
        <w:t>. primary canonical comparison.</w:t>
      </w:r>
    </w:p>
    <w:p>
      <w:pPr>
        <w:keepNext w:val="0"/>
      </w:pPr>
      <w:r>
        <w:t xml:space="preserve">37. [REV] New Testament. </w:t>
      </w:r>
      <w:hyperlink r:id="rId46">
        <w:r>
          <w:rPr>
            <w:color w:val="222222"/>
            <w:u w:val="single"/>
          </w:rPr>
          <w:t>Revelation 11; compare 12–13</w:t>
        </w:r>
      </w:hyperlink>
      <w:r>
        <w:t>. primary canonical comparison.</w:t>
      </w:r>
    </w:p>
    <w:p>
      <w:pPr>
        <w:keepNext w:val="0"/>
      </w:pPr>
      <w:r>
        <w:t>Scope source: Founder’s Daniel 9 audit authorization, Pasted markdown(20260913-125019).md. Earlier Foreshadowing research and Blueprint govern continuity and presentation.</w:t>
      </w:r>
    </w:p>
    <w:p>
      <w:pPr>
        <w:pStyle w:val="Heading2"/>
      </w:pPr>
      <w:r>
        <w:t>Identified sources with limited or no direct access</w:t>
      </w:r>
    </w:p>
    <w:p>
      <w:pPr>
        <w:keepNext w:val="0"/>
      </w:pPr>
      <w:r>
        <w:t>Harold W. Hoehner, Chronological Aspects of the Life of Christ (Grand Rapids: Zondervan, 1977), developing earlier Bibliotheca Sacra articles. Access here was through Young’s discussion; no claim of direct inspection of the original calendar argument.</w:t>
      </w:r>
    </w:p>
    <w:p>
      <w:pPr>
        <w:keepNext w:val="0"/>
      </w:pPr>
      <w:r>
        <w:t>Richard A. Parker and Waldo H. Dubberstein, Babylonian Chronology 626 B.C.–A.D. 75 (Providence: Brown University Press, 1956). Tables discussed by Young; original tables not independently inspected.</w:t>
      </w:r>
    </w:p>
    <w:p>
      <w:pPr>
        <w:keepNext w:val="0"/>
      </w:pPr>
      <w:r>
        <w:t>Michael Segal, “The Chronological Conception of the Persian Period in Daniel 9,” Journal of Ancient Judaism 2 (2011), 283–303, DOI 10.13109/jaju.2011.2.3.283; revised in Dreams, Riddles, and Visions (Berlin: De Gruyter, 2016), chapter 6. Bibliographic record verified; full arguments not independently assessed.</w:t>
      </w:r>
    </w:p>
    <w:p>
      <w:pPr>
        <w:keepNext w:val="0"/>
      </w:pPr>
      <w:r>
        <w:t>John J. Collins, Daniel (Hermeneia; Minneapolis: Fortress, 1993); John E. Goldingay, Daniel (Word Biblical Commentary 30; Dallas: Word, 1989); Louis F. Hartman and Alexander A. Di Lella, The Book of Daniel (Anchor Bible 23; Garden City: Doubleday, 1978); Carol A. Newsom with Brennan W. Breed, Daniel (Old Testament Library; Louisville: Westminster John Knox, 2014). Referenced in consulted studies; these full commentaries were not independently read.</w:t>
      </w:r>
    </w:p>
    <w:p>
      <w:pPr>
        <w:keepNext w:val="0"/>
      </w:pPr>
      <w:r>
        <w:t>Complete Jewish Study Bible commentary; critical Old Greek/Theodotion editions and NETS Daniel; full critical Seder Olam and rabbinic corpus. Unavailable or not independently collated. These are limitations, not entries claimed as fully consulted.</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The Living Word • Daniel 9 Audit • </w:t>
    </w:r>
    <w:fldSimple w:instr="PAGE"/>
  </w:p>
</w:ftr>
</file>

<file path=word/footnotes.xml><?xml version="1.0" encoding="utf-8"?>
<w:footnotes xmlns:w="http://schemas.openxmlformats.org/wordprocessingml/2006/main" xmlns:r="http://schemas.openxmlformats.org/officeDocument/2006/relationships">
  <w:footnote w:id="-1" w:type="separator">
    <w:p>
      <w:r>
        <w:separator/>
      </w:r>
    </w:p>
  </w:footnote>
  <w:footnote w:id="0" w:type="continuationSeparator">
    <w:p>
      <w:r>
        <w:continuationSeparator/>
      </w:r>
    </w:p>
  </w:footnote>
  <w:footnote w:id="1">
    <w:p>
      <w:pPr>
        <w:pStyle w:val="FootnoteText"/>
      </w:pPr>
      <w:r>
        <w:footnoteRef/>
      </w:r>
      <w:r>
        <w:t xml:space="preserve"> </w:t>
      </w:r>
      <w:hyperlink r:id="rId1">
        <w:r>
          <w:rPr>
            <w:color w:val="222222"/>
          </w:rPr>
          <w:t>[MAT] New Testament, Matthew 24; compare 26:28</w:t>
        </w:r>
      </w:hyperlink>
      <w:r>
        <w:t xml:space="preserve">; </w:t>
      </w:r>
      <w:hyperlink r:id="rId2">
        <w:r>
          <w:rPr>
            <w:color w:val="222222"/>
          </w:rPr>
          <w:t>[MARK] New Testament, Mark 13</w:t>
        </w:r>
      </w:hyperlink>
      <w:r>
        <w:t xml:space="preserve">; </w:t>
      </w:r>
      <w:hyperlink r:id="rId3">
        <w:r>
          <w:rPr>
            <w:color w:val="222222"/>
          </w:rPr>
          <w:t>[LUKE] New Testament, Luke 21.</w:t>
        </w:r>
      </w:hyperlink>
    </w:p>
  </w:footnote>
  <w:footnote w:id="2">
    <w:p>
      <w:pPr>
        <w:pStyle w:val="FootnoteText"/>
      </w:pPr>
      <w:r>
        <w:footnoteRef/>
      </w:r>
      <w:r>
        <w:t xml:space="preserve"> </w:t>
      </w:r>
      <w:hyperlink r:id="rId4">
        <w:r>
          <w:rPr>
            <w:color w:val="222222"/>
          </w:rPr>
          <w:t>[MT] Hebrew Bible, Daniel 9, Masoretic Hebrew with JPS 1917 English.</w:t>
        </w:r>
      </w:hyperlink>
    </w:p>
  </w:footnote>
  <w:footnote w:id="3">
    <w:p>
      <w:pPr>
        <w:pStyle w:val="FootnoteText"/>
      </w:pPr>
      <w:r>
        <w:footnoteRef/>
      </w:r>
      <w:r>
        <w:t xml:space="preserve"> </w:t>
      </w:r>
      <w:hyperlink r:id="rId5">
        <w:r>
          <w:rPr>
            <w:color w:val="222222"/>
          </w:rPr>
          <w:t>[MT] Hebrew Bible, Daniel 9, Masoretic Hebrew with JPS 1917 English</w:t>
        </w:r>
      </w:hyperlink>
      <w:r>
        <w:t xml:space="preserve">; </w:t>
      </w:r>
      <w:hyperlink r:id="rId6">
        <w:r>
          <w:rPr>
            <w:color w:val="222222"/>
          </w:rPr>
          <w:t>[NET] NET Bible translators, Daniel 9:24–27 and textual/translation notes.</w:t>
        </w:r>
      </w:hyperlink>
    </w:p>
  </w:footnote>
  <w:footnote w:id="4">
    <w:p>
      <w:pPr>
        <w:pStyle w:val="FootnoteText"/>
      </w:pPr>
      <w:r>
        <w:footnoteRef/>
      </w:r>
      <w:r>
        <w:t xml:space="preserve"> </w:t>
      </w:r>
      <w:hyperlink r:id="rId7">
        <w:r>
          <w:rPr>
            <w:color w:val="222222"/>
          </w:rPr>
          <w:t>[MT] Hebrew Bible, Daniel 9, Masoretic Hebrew with JPS 1917 English</w:t>
        </w:r>
      </w:hyperlink>
      <w:r>
        <w:t xml:space="preserve">; </w:t>
      </w:r>
      <w:hyperlink r:id="rId8">
        <w:r>
          <w:rPr>
            <w:color w:val="222222"/>
          </w:rPr>
          <w:t>[ESV] ESV translators, Daniel 9.</w:t>
        </w:r>
      </w:hyperlink>
    </w:p>
  </w:footnote>
  <w:footnote w:id="5">
    <w:p>
      <w:pPr>
        <w:pStyle w:val="FootnoteText"/>
      </w:pPr>
      <w:r>
        <w:footnoteRef/>
      </w:r>
      <w:r>
        <w:t xml:space="preserve"> </w:t>
      </w:r>
      <w:hyperlink r:id="rId9">
        <w:r>
          <w:rPr>
            <w:color w:val="222222"/>
          </w:rPr>
          <w:t>[NET] NET Bible translators, Daniel 9:24–27 and textual/translation notes.</w:t>
        </w:r>
      </w:hyperlink>
    </w:p>
  </w:footnote>
  <w:footnote w:id="6">
    <w:p>
      <w:pPr>
        <w:pStyle w:val="FootnoteText"/>
      </w:pPr>
      <w:r>
        <w:footnoteRef/>
      </w:r>
      <w:r>
        <w:t xml:space="preserve"> </w:t>
      </w:r>
      <w:hyperlink r:id="rId10">
        <w:r>
          <w:rPr>
            <w:color w:val="222222"/>
          </w:rPr>
          <w:t>[ULR] Dean R. Ulrich, How early Judaism read Daniel 9:24–27.</w:t>
        </w:r>
      </w:hyperlink>
    </w:p>
  </w:footnote>
  <w:footnote w:id="7">
    <w:p>
      <w:pPr>
        <w:pStyle w:val="FootnoteText"/>
      </w:pPr>
      <w:r>
        <w:footnoteRef/>
      </w:r>
      <w:r>
        <w:t xml:space="preserve"> </w:t>
      </w:r>
      <w:hyperlink r:id="rId11">
        <w:r>
          <w:rPr>
            <w:color w:val="222222"/>
          </w:rPr>
          <w:t>[DSS] DSS English Bible, Daniel 9 manuscript coverage</w:t>
        </w:r>
      </w:hyperlink>
      <w:r>
        <w:t xml:space="preserve">; </w:t>
      </w:r>
      <w:hyperlink r:id="rId12">
        <w:r>
          <w:rPr>
            <w:color w:val="222222"/>
          </w:rPr>
          <w:t>[11Q] Florentino García Martínez and Eibert J. C. Tigchelaar, eds., 11Q13, pp. 1206–1209.</w:t>
        </w:r>
      </w:hyperlink>
    </w:p>
  </w:footnote>
  <w:footnote w:id="8">
    <w:p>
      <w:pPr>
        <w:pStyle w:val="FootnoteText"/>
      </w:pPr>
      <w:r>
        <w:footnoteRef/>
      </w:r>
      <w:r>
        <w:t xml:space="preserve"> </w:t>
      </w:r>
      <w:hyperlink r:id="rId13">
        <w:r>
          <w:rPr>
            <w:color w:val="222222"/>
          </w:rPr>
          <w:t>[KJV] King James Version, Daniel 9:25–27</w:t>
        </w:r>
      </w:hyperlink>
      <w:r>
        <w:t xml:space="preserve">; </w:t>
      </w:r>
      <w:hyperlink r:id="rId14">
        <w:r>
          <w:rPr>
            <w:color w:val="222222"/>
          </w:rPr>
          <w:t>[NASB] NASB translators, Daniel 9:25–27</w:t>
        </w:r>
      </w:hyperlink>
      <w:r>
        <w:t xml:space="preserve">; </w:t>
      </w:r>
      <w:hyperlink r:id="rId15">
        <w:r>
          <w:rPr>
            <w:color w:val="222222"/>
          </w:rPr>
          <w:t>[NIV] NIV translators, Daniel 9</w:t>
        </w:r>
      </w:hyperlink>
      <w:r>
        <w:t xml:space="preserve">; </w:t>
      </w:r>
      <w:hyperlink r:id="rId16">
        <w:r>
          <w:rPr>
            <w:color w:val="222222"/>
          </w:rPr>
          <w:t>[NRSV] NRSV / NRSVue translators, Daniel 9:25–27</w:t>
        </w:r>
      </w:hyperlink>
      <w:r>
        <w:t xml:space="preserve">; </w:t>
      </w:r>
      <w:hyperlink r:id="rId17">
        <w:r>
          <w:rPr>
            <w:color w:val="222222"/>
          </w:rPr>
          <w:t>[CJB] David H. Stern, Complete Jewish Bible, Daniel 9:25–27</w:t>
        </w:r>
      </w:hyperlink>
      <w:r>
        <w:t xml:space="preserve">; </w:t>
      </w:r>
      <w:hyperlink r:id="rId18">
        <w:r>
          <w:rPr>
            <w:color w:val="222222"/>
          </w:rPr>
          <w:t>[NAB] NABRE editors, Daniel 9 and explanatory notes.</w:t>
        </w:r>
      </w:hyperlink>
    </w:p>
  </w:footnote>
  <w:footnote w:id="9">
    <w:p>
      <w:pPr>
        <w:pStyle w:val="FootnoteText"/>
      </w:pPr>
      <w:r>
        <w:footnoteRef/>
      </w:r>
      <w:r>
        <w:t xml:space="preserve"> </w:t>
      </w:r>
      <w:hyperlink r:id="rId19">
        <w:r>
          <w:rPr>
            <w:color w:val="222222"/>
          </w:rPr>
          <w:t>[MAC2] 2 Maccabees, Chapter 4.</w:t>
        </w:r>
      </w:hyperlink>
    </w:p>
  </w:footnote>
  <w:footnote w:id="10">
    <w:p>
      <w:pPr>
        <w:pStyle w:val="FootnoteText"/>
      </w:pPr>
      <w:r>
        <w:footnoteRef/>
      </w:r>
      <w:r>
        <w:t xml:space="preserve"> </w:t>
      </w:r>
      <w:hyperlink r:id="rId20">
        <w:r>
          <w:rPr>
            <w:color w:val="222222"/>
          </w:rPr>
          <w:t>[MAC1] 1 Maccabees, Chapter 1.</w:t>
        </w:r>
      </w:hyperlink>
    </w:p>
  </w:footnote>
  <w:footnote w:id="11">
    <w:p>
      <w:pPr>
        <w:pStyle w:val="FootnoteText"/>
      </w:pPr>
      <w:r>
        <w:footnoteRef/>
      </w:r>
      <w:r>
        <w:t xml:space="preserve"> </w:t>
      </w:r>
      <w:hyperlink r:id="rId21">
        <w:r>
          <w:rPr>
            <w:color w:val="222222"/>
          </w:rPr>
          <w:t>[JOW] Flavius Josephus, Jewish War 4.5.2; 6.2.1; 6.5.4</w:t>
        </w:r>
      </w:hyperlink>
      <w:r>
        <w:t xml:space="preserve">; </w:t>
      </w:r>
      <w:hyperlink r:id="rId22">
        <w:r>
          <w:rPr>
            <w:color w:val="222222"/>
          </w:rPr>
          <w:t>[RASHI] Rashi, Commentary on Daniel 9:24–27.</w:t>
        </w:r>
      </w:hyperlink>
    </w:p>
  </w:footnote>
  <w:footnote w:id="12">
    <w:p>
      <w:pPr>
        <w:pStyle w:val="FootnoteText"/>
      </w:pPr>
      <w:r>
        <w:footnoteRef/>
      </w:r>
      <w:r>
        <w:t xml:space="preserve"> </w:t>
      </w:r>
      <w:hyperlink r:id="rId23">
        <w:r>
          <w:rPr>
            <w:color w:val="222222"/>
          </w:rPr>
          <w:t>[POY] Vern S. Poythress, Hermeneutical Factors in Determining the Beginning of the Seventy Weeks (Daniel 9:25).</w:t>
        </w:r>
      </w:hyperlink>
    </w:p>
  </w:footnote>
  <w:footnote w:id="13">
    <w:p>
      <w:pPr>
        <w:pStyle w:val="FootnoteText"/>
      </w:pPr>
      <w:r>
        <w:footnoteRef/>
      </w:r>
      <w:r>
        <w:t xml:space="preserve"> </w:t>
      </w:r>
      <w:hyperlink r:id="rId24">
        <w:r>
          <w:rPr>
            <w:color w:val="222222"/>
          </w:rPr>
          <w:t>[REV] New Testament, Revelation 11; compare 12–13.</w:t>
        </w:r>
      </w:hyperlink>
    </w:p>
  </w:footnote>
  <w:footnote w:id="14">
    <w:p>
      <w:pPr>
        <w:pStyle w:val="FootnoteText"/>
      </w:pPr>
      <w:r>
        <w:footnoteRef/>
      </w:r>
      <w:r>
        <w:t xml:space="preserve"> </w:t>
      </w:r>
      <w:hyperlink r:id="rId25">
        <w:r>
          <w:rPr>
            <w:color w:val="222222"/>
          </w:rPr>
          <w:t>[MAC4] 1 Maccabees, Chapter 4.</w:t>
        </w:r>
      </w:hyperlink>
    </w:p>
  </w:footnote>
  <w:footnote w:id="15">
    <w:p>
      <w:pPr>
        <w:pStyle w:val="FootnoteText"/>
      </w:pPr>
      <w:r>
        <w:footnoteRef/>
      </w:r>
      <w:r>
        <w:t xml:space="preserve"> </w:t>
      </w:r>
      <w:hyperlink r:id="rId26">
        <w:r>
          <w:rPr>
            <w:color w:val="222222"/>
          </w:rPr>
          <w:t>[AND] Sir Robert Anderson, The Coming Prince, chapter X and notes.</w:t>
        </w:r>
      </w:hyperlink>
    </w:p>
  </w:footnote>
  <w:footnote w:id="16">
    <w:p>
      <w:pPr>
        <w:pStyle w:val="FootnoteText"/>
      </w:pPr>
      <w:r>
        <w:footnoteRef/>
      </w:r>
      <w:r>
        <w:t xml:space="preserve"> </w:t>
      </w:r>
      <w:hyperlink r:id="rId27">
        <w:r>
          <w:rPr>
            <w:color w:val="222222"/>
          </w:rPr>
          <w:t>[YOU] Rodger C. Young, The Theological Problem Presented by the Exactness of Daniel’s 70 Weeks.</w:t>
        </w:r>
      </w:hyperlink>
    </w:p>
  </w:footnote>
  <w:footnote w:id="17">
    <w:p>
      <w:pPr>
        <w:pStyle w:val="FootnoteText"/>
      </w:pPr>
      <w:r>
        <w:footnoteRef/>
      </w:r>
      <w:r>
        <w:t xml:space="preserve"> </w:t>
      </w:r>
      <w:hyperlink r:id="rId28">
        <w:r>
          <w:rPr>
            <w:color w:val="222222"/>
          </w:rPr>
          <w:t>[MAT] New Testament, Matthew 24; compare 26:28</w:t>
        </w:r>
      </w:hyperlink>
      <w:r>
        <w:t xml:space="preserve">; </w:t>
      </w:r>
      <w:hyperlink r:id="rId29">
        <w:r>
          <w:rPr>
            <w:color w:val="222222"/>
          </w:rPr>
          <w:t>[MARK] New Testament, Mark 13.</w:t>
        </w:r>
      </w:hyperlink>
    </w:p>
  </w:footnote>
  <w:footnote w:id="18">
    <w:p>
      <w:pPr>
        <w:pStyle w:val="FootnoteText"/>
      </w:pPr>
      <w:r>
        <w:footnoteRef/>
      </w:r>
      <w:r>
        <w:t xml:space="preserve"> </w:t>
      </w:r>
      <w:hyperlink r:id="rId30">
        <w:r>
          <w:rPr>
            <w:color w:val="222222"/>
          </w:rPr>
          <w:t>[LUKE] New Testament, Luke 21.</w:t>
        </w:r>
      </w:hyperlink>
    </w:p>
  </w:footnote>
  <w:footnote w:id="19">
    <w:p>
      <w:pPr>
        <w:pStyle w:val="FootnoteText"/>
      </w:pPr>
      <w:r>
        <w:footnoteRef/>
      </w:r>
      <w:r>
        <w:t xml:space="preserve"> </w:t>
      </w:r>
      <w:hyperlink r:id="rId31">
        <w:r>
          <w:rPr>
            <w:color w:val="222222"/>
          </w:rPr>
          <w:t>[MARK14] New Testament, Mark 14.</w:t>
        </w:r>
      </w:hyperlink>
    </w:p>
  </w:footnote>
  <w:footnote w:id="20">
    <w:p>
      <w:pPr>
        <w:pStyle w:val="FootnoteText"/>
      </w:pPr>
      <w:r>
        <w:footnoteRef/>
      </w:r>
      <w:r>
        <w:t xml:space="preserve"> </w:t>
      </w:r>
      <w:hyperlink r:id="rId32">
        <w:r>
          <w:rPr>
            <w:color w:val="222222"/>
          </w:rPr>
          <w:t>[HEB] New Testament, Hebrews 9.</w:t>
        </w:r>
      </w:hyperlink>
    </w:p>
  </w:footnote>
  <w:footnote w:id="21">
    <w:p>
      <w:pPr>
        <w:pStyle w:val="FootnoteText"/>
      </w:pPr>
      <w:r>
        <w:footnoteRef/>
      </w:r>
      <w:r>
        <w:t xml:space="preserve"> </w:t>
      </w:r>
      <w:hyperlink r:id="rId33">
        <w:r>
          <w:rPr>
            <w:color w:val="222222"/>
          </w:rPr>
          <w:t>[PAUL] New Testament, 2 Thessalonians 2.</w:t>
        </w:r>
      </w:hyperlink>
    </w:p>
  </w:footnote>
  <w:footnote w:id="22">
    <w:p>
      <w:pPr>
        <w:pStyle w:val="FootnoteText"/>
      </w:pPr>
      <w:r>
        <w:footnoteRef/>
      </w:r>
      <w:r>
        <w:t xml:space="preserve"> </w:t>
      </w:r>
      <w:hyperlink r:id="rId34">
        <w:r>
          <w:rPr>
            <w:color w:val="222222"/>
          </w:rPr>
          <w:t>[11Q] Florentino García Martínez and Eibert J. C. Tigchelaar, eds., 11Q13, pp. 1206–1209.</w:t>
        </w:r>
      </w:hyperlink>
    </w:p>
  </w:footnote>
  <w:footnote w:id="23">
    <w:p>
      <w:pPr>
        <w:pStyle w:val="FootnoteText"/>
      </w:pPr>
      <w:r>
        <w:footnoteRef/>
      </w:r>
      <w:r>
        <w:t xml:space="preserve"> </w:t>
      </w:r>
      <w:hyperlink r:id="rId35">
        <w:r>
          <w:rPr>
            <w:color w:val="222222"/>
          </w:rPr>
          <w:t>[JOA] Flavius Josephus, Jewish Antiquities 10.11.7, §§276–281</w:t>
        </w:r>
      </w:hyperlink>
      <w:r>
        <w:t xml:space="preserve">; </w:t>
      </w:r>
      <w:hyperlink r:id="rId36">
        <w:r>
          <w:rPr>
            <w:color w:val="222222"/>
          </w:rPr>
          <w:t>[JOW] Flavius Josephus, Jewish War 4.5.2; 6.2.1; 6.5.4.</w:t>
        </w:r>
      </w:hyperlink>
    </w:p>
  </w:footnote>
  <w:footnote w:id="24">
    <w:p>
      <w:pPr>
        <w:pStyle w:val="FootnoteText"/>
      </w:pPr>
      <w:r>
        <w:footnoteRef/>
      </w:r>
      <w:r>
        <w:t xml:space="preserve"> </w:t>
      </w:r>
      <w:hyperlink r:id="rId37">
        <w:r>
          <w:rPr>
            <w:color w:val="222222"/>
          </w:rPr>
          <w:t>[RASHI] Rashi, Commentary on Daniel 9:24–27.</w:t>
        </w:r>
      </w:hyperlink>
    </w:p>
  </w:footnote>
  <w:footnote w:id="25">
    <w:p>
      <w:pPr>
        <w:pStyle w:val="FootnoteText"/>
      </w:pPr>
      <w:r>
        <w:footnoteRef/>
      </w:r>
      <w:r>
        <w:t xml:space="preserve"> </w:t>
      </w:r>
      <w:hyperlink r:id="rId38">
        <w:r>
          <w:rPr>
            <w:color w:val="222222"/>
          </w:rPr>
          <w:t>[AISH] Dovid Rosenfeld, The Seventy Weeks of Daniel 9.</w:t>
        </w:r>
      </w:hyperlink>
    </w:p>
  </w:footnote>
  <w:footnote w:id="26">
    <w:p>
      <w:pPr>
        <w:pStyle w:val="FootnoteText"/>
      </w:pPr>
      <w:r>
        <w:footnoteRef/>
      </w:r>
      <w:r>
        <w:t xml:space="preserve"> </w:t>
      </w:r>
      <w:hyperlink r:id="rId39">
        <w:r>
          <w:rPr>
            <w:color w:val="222222"/>
          </w:rPr>
          <w:t>[TAN] J. Paul Tanner, Is Daniel’s Seventy-Weeks Prophecy Messianic? Part 1.</w:t>
        </w:r>
      </w:hyperlink>
    </w:p>
  </w:footnote>
  <w:footnote w:id="27">
    <w:p>
      <w:pPr>
        <w:pStyle w:val="FootnoteText"/>
      </w:pPr>
      <w:r>
        <w:footnoteRef/>
      </w:r>
      <w:r>
        <w:t xml:space="preserve"> </w:t>
      </w:r>
      <w:hyperlink r:id="rId40">
        <w:r>
          <w:rPr>
            <w:color w:val="222222"/>
          </w:rPr>
          <w:t>[IREN] Irenaeus, Against Heresies 5.25.</w:t>
        </w:r>
      </w:hyperlink>
    </w:p>
  </w:footnote>
  <w:footnote w:id="28">
    <w:p>
      <w:pPr>
        <w:pStyle w:val="FootnoteText"/>
      </w:pPr>
      <w:r>
        <w:footnoteRef/>
      </w:r>
      <w:r>
        <w:t xml:space="preserve"> </w:t>
      </w:r>
      <w:hyperlink r:id="rId41">
        <w:r>
          <w:rPr>
            <w:color w:val="222222"/>
          </w:rPr>
          <w:t>[HIPP] Hippolytus, On Daniel, second fragment §§11–22.</w:t>
        </w:r>
      </w:hyperlink>
    </w:p>
  </w:footnote>
  <w:footnote w:id="29">
    <w:p>
      <w:pPr>
        <w:pStyle w:val="FootnoteText"/>
      </w:pPr>
      <w:r>
        <w:footnoteRef/>
      </w:r>
      <w:r>
        <w:t xml:space="preserve"> </w:t>
      </w:r>
      <w:hyperlink r:id="rId42">
        <w:r>
          <w:rPr>
            <w:color w:val="222222"/>
          </w:rPr>
          <w:t>[AFR] Julius Africanus, Chronography, fragment 16.</w:t>
        </w:r>
      </w:hyperlink>
    </w:p>
  </w:footnote>
  <w:footnote w:id="30">
    <w:p>
      <w:pPr>
        <w:pStyle w:val="FootnoteText"/>
      </w:pPr>
      <w:r>
        <w:footnoteRef/>
      </w:r>
      <w:r>
        <w:t xml:space="preserve"> </w:t>
      </w:r>
      <w:hyperlink r:id="rId43">
        <w:r>
          <w:rPr>
            <w:color w:val="222222"/>
          </w:rPr>
          <w:t>[JER] Jerome, Commentary on Daniel, chapter 9.</w:t>
        </w:r>
      </w:hyperlink>
    </w:p>
  </w:footnote>
  <w:footnote w:id="31">
    <w:p>
      <w:pPr>
        <w:pStyle w:val="FootnoteText"/>
      </w:pPr>
      <w:r>
        <w:footnoteRef/>
      </w:r>
      <w:r>
        <w:t xml:space="preserve"> </w:t>
      </w:r>
      <w:hyperlink r:id="rId44">
        <w:r>
          <w:rPr>
            <w:color w:val="222222"/>
          </w:rPr>
          <w:t>[LAR] David Larson, Approximate Fulfillment as the Key to Reconsidering the Decree of Cyrus as the Beginning Point of Daniel’s 70 Weeks.</w:t>
        </w:r>
      </w:hyperlink>
    </w:p>
  </w:footnote>
  <w:footnote w:id="32">
    <w:p>
      <w:pPr>
        <w:pStyle w:val="FootnoteText"/>
      </w:pPr>
      <w:r>
        <w:footnoteRef/>
      </w:r>
      <w:r>
        <w:t xml:space="preserve"> </w:t>
      </w:r>
      <w:hyperlink r:id="rId45">
        <w:r>
          <w:rPr>
            <w:color w:val="222222"/>
          </w:rPr>
          <w:t>[CHASE] Mitchell L. Chase, What Are the Seventy Weeks of Daniel? (Daniel 9).</w:t>
        </w:r>
      </w:hyperlink>
    </w:p>
  </w:footnote>
  <w:footnote w:id="33">
    <w:p>
      <w:pPr>
        <w:pStyle w:val="FootnoteText"/>
      </w:pPr>
      <w:r>
        <w:footnoteRef/>
      </w:r>
      <w:r>
        <w:t xml:space="preserve"> </w:t>
      </w:r>
      <w:hyperlink r:id="rId46">
        <w:r>
          <w:rPr>
            <w:color w:val="222222"/>
          </w:rPr>
          <w:t>[TANR] J. Paul Tanner, Jerusalem in Daniel 9:26: Antiochene Corruption or Roman Destruction?.</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keepLines/>
      <w:spacing w:line="240" w:lineRule="auto" w:after="40"/>
    </w:pPr>
    <w:rPr>
      <w:rFonts w:ascii="Calibri" w:hAnsi="Calibri"/>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echon-mamre.org/p/pt/pt3409.htm" TargetMode="External"/><Relationship Id="rId11" Type="http://schemas.openxmlformats.org/officeDocument/2006/relationships/hyperlink" Target="https://www.biblegateway.com/passage/?search=Daniel+9:24-27&amp;version=NET" TargetMode="External"/><Relationship Id="rId12" Type="http://schemas.openxmlformats.org/officeDocument/2006/relationships/hyperlink" Target="https://www.esv.org/Daniel+9/" TargetMode="External"/><Relationship Id="rId13" Type="http://schemas.openxmlformats.org/officeDocument/2006/relationships/hyperlink" Target="https://www.biblegateway.com/passage/?search=Daniel+9:25-27&amp;version=KJV" TargetMode="External"/><Relationship Id="rId14" Type="http://schemas.openxmlformats.org/officeDocument/2006/relationships/hyperlink" Target="https://www.biblegateway.com/passage/?search=Daniel+9:25-27&amp;version=NASB" TargetMode="External"/><Relationship Id="rId15" Type="http://schemas.openxmlformats.org/officeDocument/2006/relationships/hyperlink" Target="https://www.biblegateway.com/passage/?search=Daniel+9&amp;version=NIV" TargetMode="External"/><Relationship Id="rId16" Type="http://schemas.openxmlformats.org/officeDocument/2006/relationships/hyperlink" Target="https://www.biblegateway.com/passage/?search=Daniel+9:25-27&amp;version=NRSVUE" TargetMode="External"/><Relationship Id="rId17" Type="http://schemas.openxmlformats.org/officeDocument/2006/relationships/hyperlink" Target="https://www.biblegateway.com/passage/?search=Daniel+9:25-27&amp;version=CJB" TargetMode="External"/><Relationship Id="rId18" Type="http://schemas.openxmlformats.org/officeDocument/2006/relationships/hyperlink" Target="https://bible.usccb.org/bible/daniel/9" TargetMode="External"/><Relationship Id="rId19" Type="http://schemas.openxmlformats.org/officeDocument/2006/relationships/hyperlink" Target="https://www.scielo.org.za/scielo.php?pid=S1010-99192014000300016&amp;script=sci_arttext" TargetMode="External"/><Relationship Id="rId20" Type="http://schemas.openxmlformats.org/officeDocument/2006/relationships/hyperlink" Target="https://www.marquette.edu/maqom/11QMelchizedek.pdf" TargetMode="External"/><Relationship Id="rId21" Type="http://schemas.openxmlformats.org/officeDocument/2006/relationships/hyperlink" Target="https://dssenglishbible.com/daniel%209.htm" TargetMode="External"/><Relationship Id="rId22" Type="http://schemas.openxmlformats.org/officeDocument/2006/relationships/hyperlink" Target="https://bible.usccb.org/bible/1maccabees/1" TargetMode="External"/><Relationship Id="rId23" Type="http://schemas.openxmlformats.org/officeDocument/2006/relationships/hyperlink" Target="https://bible.usccb.org/bible/1maccabees/4" TargetMode="External"/><Relationship Id="rId24" Type="http://schemas.openxmlformats.org/officeDocument/2006/relationships/hyperlink" Target="https://bible.usccb.org/bible/2maccabees/4" TargetMode="External"/><Relationship Id="rId25" Type="http://schemas.openxmlformats.org/officeDocument/2006/relationships/hyperlink" Target="https://www.gutenberg.org/files/2848/2848-h/2848-h.htm" TargetMode="External"/><Relationship Id="rId26" Type="http://schemas.openxmlformats.org/officeDocument/2006/relationships/hyperlink" Target="https://www.gutenberg.org/files/2850/2850-h/2850-h.htm" TargetMode="External"/><Relationship Id="rId27" Type="http://schemas.openxmlformats.org/officeDocument/2006/relationships/hyperlink" Target="https://www.chabad.org/library/bible_cdo/aid/16492/jewish/Chapter-9.htm" TargetMode="External"/><Relationship Id="rId28" Type="http://schemas.openxmlformats.org/officeDocument/2006/relationships/hyperlink" Target="https://aish.com/the-seventy-weeks-of-daniel-9/" TargetMode="External"/><Relationship Id="rId29" Type="http://schemas.openxmlformats.org/officeDocument/2006/relationships/hyperlink" Target="https://www.newadvent.org/fathers/0502.htm" TargetMode="External"/><Relationship Id="rId30" Type="http://schemas.openxmlformats.org/officeDocument/2006/relationships/hyperlink" Target="https://www.newadvent.org/fathers/0103525.htm" TargetMode="External"/><Relationship Id="rId31" Type="http://schemas.openxmlformats.org/officeDocument/2006/relationships/hyperlink" Target="https://www.newadvent.org/fathers/0614.htm" TargetMode="External"/><Relationship Id="rId32" Type="http://schemas.openxmlformats.org/officeDocument/2006/relationships/hyperlink" Target="https://www.tertullian.org/fathers/jerome_daniel_02_text.htm" TargetMode="External"/><Relationship Id="rId33" Type="http://schemas.openxmlformats.org/officeDocument/2006/relationships/hyperlink" Target="https://lionandlambapologetics.org/wp-content/uploads/2023/01/Is-Daniels-Seventy-Weeks-Prophecy-Messianic-1-Tanner.pdf" TargetMode="External"/><Relationship Id="rId34" Type="http://schemas.openxmlformats.org/officeDocument/2006/relationships/hyperlink" Target="https://www.academia.edu/107534158/Jerusalem_in_Daniel_9_26_Antiochene_Corruption_or_Roman_Destruction_" TargetMode="External"/><Relationship Id="rId35" Type="http://schemas.openxmlformats.org/officeDocument/2006/relationships/hyperlink" Target="https://frame-poythress.org/hermeneutical-factors-in-determining-the-beginning-of-the-seventy-weeks-daniel-925/" TargetMode="External"/><Relationship Id="rId36" Type="http://schemas.openxmlformats.org/officeDocument/2006/relationships/hyperlink" Target="https://etsjets.org/wp-content/uploads/JETS_65.3_491-507_Larson.pdf" TargetMode="External"/><Relationship Id="rId37" Type="http://schemas.openxmlformats.org/officeDocument/2006/relationships/hyperlink" Target="https://etsjets.org/wp-content/uploads/JETS_65.3_473-89_Young.pdf" TargetMode="External"/><Relationship Id="rId38" Type="http://schemas.openxmlformats.org/officeDocument/2006/relationships/hyperlink" Target="https://www.whatsaiththescripture.com/Voice/The.Coming.Prince.5.html" TargetMode="External"/><Relationship Id="rId39" Type="http://schemas.openxmlformats.org/officeDocument/2006/relationships/hyperlink" Target="https://www.crossway.org/articles/what-are-the-seventy-weeks-of-daniel-daniel-9/" TargetMode="External"/><Relationship Id="rId40" Type="http://schemas.openxmlformats.org/officeDocument/2006/relationships/hyperlink" Target="https://www.esv.org/Matthew+24/" TargetMode="External"/><Relationship Id="rId41" Type="http://schemas.openxmlformats.org/officeDocument/2006/relationships/hyperlink" Target="https://www.esv.org/Mark+13/" TargetMode="External"/><Relationship Id="rId42" Type="http://schemas.openxmlformats.org/officeDocument/2006/relationships/hyperlink" Target="https://www.esv.org/Mark+14/" TargetMode="External"/><Relationship Id="rId43" Type="http://schemas.openxmlformats.org/officeDocument/2006/relationships/hyperlink" Target="https://www.esv.org/Luke+21/" TargetMode="External"/><Relationship Id="rId44" Type="http://schemas.openxmlformats.org/officeDocument/2006/relationships/hyperlink" Target="https://www.esv.org/Hebrews+9/" TargetMode="External"/><Relationship Id="rId45" Type="http://schemas.openxmlformats.org/officeDocument/2006/relationships/hyperlink" Target="https://www.esv.org/2+Thessalonians+2/" TargetMode="External"/><Relationship Id="rId46" Type="http://schemas.openxmlformats.org/officeDocument/2006/relationships/hyperlink" Target="https://www.esv.org/Revelation+11/" TargetMode="External"/><Relationship Id="rIdResearchFootnotes"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sv.org/Matthew+24/" TargetMode="External"/><Relationship Id="rId2" Type="http://schemas.openxmlformats.org/officeDocument/2006/relationships/hyperlink" Target="https://www.esv.org/Mark+13/" TargetMode="External"/><Relationship Id="rId3" Type="http://schemas.openxmlformats.org/officeDocument/2006/relationships/hyperlink" Target="https://www.esv.org/Luke+21/" TargetMode="External"/><Relationship Id="rId4" Type="http://schemas.openxmlformats.org/officeDocument/2006/relationships/hyperlink" Target="https://mechon-mamre.org/p/pt/pt3409.htm" TargetMode="External"/><Relationship Id="rId5" Type="http://schemas.openxmlformats.org/officeDocument/2006/relationships/hyperlink" Target="https://mechon-mamre.org/p/pt/pt3409.htm" TargetMode="External"/><Relationship Id="rId6" Type="http://schemas.openxmlformats.org/officeDocument/2006/relationships/hyperlink" Target="https://www.biblegateway.com/passage/?search=Daniel+9:24-27&amp;version=NET" TargetMode="External"/><Relationship Id="rId7" Type="http://schemas.openxmlformats.org/officeDocument/2006/relationships/hyperlink" Target="https://mechon-mamre.org/p/pt/pt3409.htm" TargetMode="External"/><Relationship Id="rId8" Type="http://schemas.openxmlformats.org/officeDocument/2006/relationships/hyperlink" Target="https://www.esv.org/Daniel+9/" TargetMode="External"/><Relationship Id="rId9" Type="http://schemas.openxmlformats.org/officeDocument/2006/relationships/hyperlink" Target="https://www.biblegateway.com/passage/?search=Daniel+9:24-27&amp;version=NET" TargetMode="External"/><Relationship Id="rId10" Type="http://schemas.openxmlformats.org/officeDocument/2006/relationships/hyperlink" Target="https://www.scielo.org.za/scielo.php?pid=S1010-99192014000300016&amp;script=sci_arttext" TargetMode="External"/><Relationship Id="rId11" Type="http://schemas.openxmlformats.org/officeDocument/2006/relationships/hyperlink" Target="https://dssenglishbible.com/daniel%209.htm" TargetMode="External"/><Relationship Id="rId12" Type="http://schemas.openxmlformats.org/officeDocument/2006/relationships/hyperlink" Target="https://www.marquette.edu/maqom/11QMelchizedek.pdf" TargetMode="External"/><Relationship Id="rId13" Type="http://schemas.openxmlformats.org/officeDocument/2006/relationships/hyperlink" Target="https://www.biblegateway.com/passage/?search=Daniel+9:25-27&amp;version=KJV" TargetMode="External"/><Relationship Id="rId14" Type="http://schemas.openxmlformats.org/officeDocument/2006/relationships/hyperlink" Target="https://www.biblegateway.com/passage/?search=Daniel+9:25-27&amp;version=NASB" TargetMode="External"/><Relationship Id="rId15" Type="http://schemas.openxmlformats.org/officeDocument/2006/relationships/hyperlink" Target="https://www.biblegateway.com/passage/?search=Daniel+9&amp;version=NIV" TargetMode="External"/><Relationship Id="rId16" Type="http://schemas.openxmlformats.org/officeDocument/2006/relationships/hyperlink" Target="https://www.biblegateway.com/passage/?search=Daniel+9:25-27&amp;version=NRSVUE" TargetMode="External"/><Relationship Id="rId17" Type="http://schemas.openxmlformats.org/officeDocument/2006/relationships/hyperlink" Target="https://www.biblegateway.com/passage/?search=Daniel+9:25-27&amp;version=CJB" TargetMode="External"/><Relationship Id="rId18" Type="http://schemas.openxmlformats.org/officeDocument/2006/relationships/hyperlink" Target="https://bible.usccb.org/bible/daniel/9" TargetMode="External"/><Relationship Id="rId19" Type="http://schemas.openxmlformats.org/officeDocument/2006/relationships/hyperlink" Target="https://bible.usccb.org/bible/2maccabees/4" TargetMode="External"/><Relationship Id="rId20" Type="http://schemas.openxmlformats.org/officeDocument/2006/relationships/hyperlink" Target="https://bible.usccb.org/bible/1maccabees/1" TargetMode="External"/><Relationship Id="rId21" Type="http://schemas.openxmlformats.org/officeDocument/2006/relationships/hyperlink" Target="https://www.gutenberg.org/files/2850/2850-h/2850-h.htm" TargetMode="External"/><Relationship Id="rId22" Type="http://schemas.openxmlformats.org/officeDocument/2006/relationships/hyperlink" Target="https://www.chabad.org/library/bible_cdo/aid/16492/jewish/Chapter-9.htm" TargetMode="External"/><Relationship Id="rId23" Type="http://schemas.openxmlformats.org/officeDocument/2006/relationships/hyperlink" Target="https://frame-poythress.org/hermeneutical-factors-in-determining-the-beginning-of-the-seventy-weeks-daniel-925/" TargetMode="External"/><Relationship Id="rId24" Type="http://schemas.openxmlformats.org/officeDocument/2006/relationships/hyperlink" Target="https://www.esv.org/Revelation+11/" TargetMode="External"/><Relationship Id="rId25" Type="http://schemas.openxmlformats.org/officeDocument/2006/relationships/hyperlink" Target="https://bible.usccb.org/bible/1maccabees/4" TargetMode="External"/><Relationship Id="rId26" Type="http://schemas.openxmlformats.org/officeDocument/2006/relationships/hyperlink" Target="https://www.whatsaiththescripture.com/Voice/The.Coming.Prince.5.html" TargetMode="External"/><Relationship Id="rId27" Type="http://schemas.openxmlformats.org/officeDocument/2006/relationships/hyperlink" Target="https://etsjets.org/wp-content/uploads/JETS_65.3_473-89_Young.pdf" TargetMode="External"/><Relationship Id="rId28" Type="http://schemas.openxmlformats.org/officeDocument/2006/relationships/hyperlink" Target="https://www.esv.org/Matthew+24/" TargetMode="External"/><Relationship Id="rId29" Type="http://schemas.openxmlformats.org/officeDocument/2006/relationships/hyperlink" Target="https://www.esv.org/Mark+13/" TargetMode="External"/><Relationship Id="rId30" Type="http://schemas.openxmlformats.org/officeDocument/2006/relationships/hyperlink" Target="https://www.esv.org/Luke+21/" TargetMode="External"/><Relationship Id="rId31" Type="http://schemas.openxmlformats.org/officeDocument/2006/relationships/hyperlink" Target="https://www.esv.org/Mark+14/" TargetMode="External"/><Relationship Id="rId32" Type="http://schemas.openxmlformats.org/officeDocument/2006/relationships/hyperlink" Target="https://www.esv.org/Hebrews+9/" TargetMode="External"/><Relationship Id="rId33" Type="http://schemas.openxmlformats.org/officeDocument/2006/relationships/hyperlink" Target="https://www.esv.org/2+Thessalonians+2/" TargetMode="External"/><Relationship Id="rId34" Type="http://schemas.openxmlformats.org/officeDocument/2006/relationships/hyperlink" Target="https://www.marquette.edu/maqom/11QMelchizedek.pdf" TargetMode="External"/><Relationship Id="rId35" Type="http://schemas.openxmlformats.org/officeDocument/2006/relationships/hyperlink" Target="https://www.gutenberg.org/files/2848/2848-h/2848-h.htm" TargetMode="External"/><Relationship Id="rId36" Type="http://schemas.openxmlformats.org/officeDocument/2006/relationships/hyperlink" Target="https://www.gutenberg.org/files/2850/2850-h/2850-h.htm" TargetMode="External"/><Relationship Id="rId37" Type="http://schemas.openxmlformats.org/officeDocument/2006/relationships/hyperlink" Target="https://www.chabad.org/library/bible_cdo/aid/16492/jewish/Chapter-9.htm" TargetMode="External"/><Relationship Id="rId38" Type="http://schemas.openxmlformats.org/officeDocument/2006/relationships/hyperlink" Target="https://aish.com/the-seventy-weeks-of-daniel-9/" TargetMode="External"/><Relationship Id="rId39" Type="http://schemas.openxmlformats.org/officeDocument/2006/relationships/hyperlink" Target="https://lionandlambapologetics.org/wp-content/uploads/2023/01/Is-Daniels-Seventy-Weeks-Prophecy-Messianic-1-Tanner.pdf" TargetMode="External"/><Relationship Id="rId40" Type="http://schemas.openxmlformats.org/officeDocument/2006/relationships/hyperlink" Target="https://www.newadvent.org/fathers/0103525.htm" TargetMode="External"/><Relationship Id="rId41" Type="http://schemas.openxmlformats.org/officeDocument/2006/relationships/hyperlink" Target="https://www.newadvent.org/fathers/0502.htm" TargetMode="External"/><Relationship Id="rId42" Type="http://schemas.openxmlformats.org/officeDocument/2006/relationships/hyperlink" Target="https://www.newadvent.org/fathers/0614.htm" TargetMode="External"/><Relationship Id="rId43" Type="http://schemas.openxmlformats.org/officeDocument/2006/relationships/hyperlink" Target="https://www.tertullian.org/fathers/jerome_daniel_02_text.htm" TargetMode="External"/><Relationship Id="rId44" Type="http://schemas.openxmlformats.org/officeDocument/2006/relationships/hyperlink" Target="https://etsjets.org/wp-content/uploads/JETS_65.3_491-507_Larson.pdf" TargetMode="External"/><Relationship Id="rId45" Type="http://schemas.openxmlformats.org/officeDocument/2006/relationships/hyperlink" Target="https://www.crossway.org/articles/what-are-the-seventy-weeks-of-daniel-daniel-9/" TargetMode="External"/><Relationship Id="rId46" Type="http://schemas.openxmlformats.org/officeDocument/2006/relationships/hyperlink" Target="https://www.academia.edu/107534158/Jerusalem_in_Daniel_9_26_Antiochene_Corruption_or_Roman_Destruction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 9 Critical Audit</dc:title>
  <dc:subject>Foreshadowing Jesus: Hebrew, chronology, reception and publication assessment</dc:subject>
  <dc:creator>The Living Word</dc:creator>
  <cp:keywords/>
  <dc:description>generated by python-docx</dc:description>
  <cp:lastModifiedBy/>
  <cp:revision>1</cp:revision>
  <dcterms:created xsi:type="dcterms:W3CDTF">2013-12-23T23:15:00Z</dcterms:created>
  <dcterms:modified xsi:type="dcterms:W3CDTF">2013-12-23T23:15:00Z</dcterms:modified>
  <cp:category/>
</cp:coreProperties>
</file>