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Override PartName="/word/footnotes.xml" ContentType="application/vnd.openxmlformats-officedocument.wordprocessingml.footnot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Foreshadowing Jesus Research and Journey Recommendations</w:t>
      </w:r>
    </w:p>
    <w:p>
      <w:pPr>
        <w:pStyle w:val="Heading1"/>
      </w:pPr>
      <w:r>
        <w:t>Purpose and conclusion</w:t>
      </w:r>
    </w:p>
    <w:p>
      <w:pPr>
        <w:keepNext w:val="0"/>
      </w:pPr>
      <w:r>
        <w:t>The Old Testament points to Jesus through promises, prophetic oracles, representative people and institutions, and recurring patterns developed in the New Testament. A strong Journey lets readers see those connections in the texts themselves. It should not describe every connection as a prediction or rely on hidden codes and impressive coincidence counts.</w:t>
      </w:r>
    </w:p>
    <w:p>
      <w:pPr>
        <w:keepNext w:val="0"/>
      </w:pPr>
      <w:r>
        <w:t>Luke 24:27 and 24:44–47 govern the study: the risen Jesus relates the Scriptures to his suffering, resurrection and the proclamation of repentance and forgiveness to the nations. These passages authorize a Christ-centred reading of the whole story. They do not give a transcript of every passage he explained or identify every attractive resemblance as one of his examples.</w:t>
      </w:r>
      <w:r>
        <w:rPr>
          <w:vertAlign w:val="superscript"/>
        </w:rPr>
        <w:footnoteReference w:id="1"/>
      </w:r>
    </w:p>
    <w:p>
      <w:pPr>
        <w:keepNext w:val="0"/>
      </w:pPr>
      <w:r>
        <w:t>This report evaluates 52 encounters in biblical narrative order. Forty-six have an explicit NT connection, five are strongly established interpretive connections and one remains a plausible but disputed canonical echo. An explicit connection is not necessarily an explicit prediction. Eighteen rejected claims are recorded separately so that a sound connection cannot be used to authorize unsupported embellishments.</w:t>
      </w:r>
    </w:p>
    <w:p>
      <w:pPr>
        <w:keepNext w:val="0"/>
      </w:pPr>
      <w:r>
        <w:t>The recommendation is an eight-movement public Journey with 24 anchor encounters and 11 shorter connections, supported by optional explanation and this evidence library. This is research and editorial guidance for Founder review. It is not approved webpage copy, implemented panels or an artwork commission.</w:t>
      </w:r>
    </w:p>
    <w:p>
      <w:pPr>
        <w:pStyle w:val="Heading1"/>
      </w:pPr>
      <w:r>
        <w:t>Authority and scope</w:t>
      </w:r>
    </w:p>
    <w:p>
      <w:pPr>
        <w:keepNext w:val="0"/>
      </w:pPr>
      <w:r>
        <w:t>Scripture is the final authority. The later Foreshadowing Jesus Master brief controls over the earlier seed work brief. The accompanying Master Blueprint v2.4 consolidates the presentation principles. The Baptism hierarchy remains controlling wherever the flood and baptism are briefly cross-referenced; this report does not reopen that theological settlement.</w:t>
      </w:r>
    </w:p>
    <w:p>
      <w:pPr>
        <w:keepNext w:val="0"/>
      </w:pPr>
      <w:r>
        <w:t>The audit addresses the principal seed subjects and additional substantial NT uses, including Abel, rest, royal wisdom, Psalm 8, Isaiah’s glory vision, stone texts and Amos. It is comprehensive for the proposed Journey, not a claim to catalogue every biblical allusion or interpretation. Candidate IDs are stable reference points, not independent proof counts.</w:t>
      </w:r>
    </w:p>
    <w:p>
      <w:pPr>
        <w:keepNext w:val="0"/>
      </w:pPr>
      <w:r>
        <w:t>Chronology follows creation, patriarchs, Exodus, kingship, prophetic hope, exile and postexilic expectation. Psalms are placed with royal and worship settings without invented composition dates. Isaiah’s restoration horizons remain within its canonical ministry block; Daniel follows its narrative setting. This ordering does not decide disputed final composition dates or supply an archaeological timeline.</w:t>
      </w:r>
    </w:p>
    <w:p>
      <w:pPr>
        <w:pStyle w:val="Heading1"/>
      </w:pPr>
      <w:r>
        <w:t>Reading the evidence</w:t>
      </w:r>
    </w:p>
    <w:p>
      <w:pPr>
        <w:keepNext w:val="0"/>
      </w:pPr>
      <w:r>
        <w:t>Each encounter gives its OT context before its NT use, then distinguishes the textual connection from further inference. Correspondence can include contrast, escalation and representation; it need not repeat every detail of the earlier scene. A genuine difference may be central to the comparison rather than an objection to it.</w:t>
      </w:r>
    </w:p>
    <w:p>
      <w:pPr>
        <w:keepNext w:val="0"/>
      </w:pPr>
      <w:r>
        <w:t>The two classifications are independent. Primary type describes the relationship; credibility describes the strength of the particular retained claim. Neither is a numerical probability. One event has one primary location, type and credibility. Cross-references develop that event rather than count it again.</w:t>
      </w:r>
    </w:p>
    <w:p>
      <w:pPr>
        <w:keepNext w:val="0"/>
      </w:pPr>
      <w:r>
        <w:t>The evidence includes biblical passages, translation and textual notes, selected academic arguments, a paired disagreement over Joseph and relevant Jewish reception. Original-language observations identify material questions; they are not an independent critical edition. A lexicon supplies possible meanings, while context determines meaning in a passage.</w:t>
      </w:r>
    </w:p>
    <w:p>
      <w:pPr>
        <w:pStyle w:val="Heading1"/>
      </w:pPr>
      <w:r>
        <w:t>Classification framework</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376"/>
        <w:gridCol w:w="7416"/>
      </w:tblGrid>
      <w:tr>
        <w:trPr>
          <w:tblHeader/>
          <w:cantSplit/>
        </w:trPr>
        <w:tc>
          <w:tcPr>
            <w:tcW w:type="dxa" w:w="2376"/>
            <w:vAlign w:val="center"/>
            <w:tcMar>
              <w:top w:w="85" w:type="dxa"/>
              <w:left w:w="85" w:type="dxa"/>
              <w:bottom w:w="85" w:type="dxa"/>
              <w:right w:w="85" w:type="dxa"/>
            </w:tcMar>
            <w:shd w:fill="404040"/>
          </w:tcPr>
          <w:p>
            <w:pPr>
              <w:spacing w:before="40" w:after="40"/>
            </w:pPr>
            <w:r>
              <w:rPr>
                <w:b/>
                <w:color w:val="FFFFFF"/>
                <w:sz w:val="20"/>
              </w:rPr>
              <w:t>Primary type</w:t>
            </w:r>
          </w:p>
        </w:tc>
        <w:tc>
          <w:tcPr>
            <w:tcW w:type="dxa" w:w="7416"/>
            <w:vAlign w:val="center"/>
            <w:tcMar>
              <w:top w:w="85" w:type="dxa"/>
              <w:left w:w="85" w:type="dxa"/>
              <w:bottom w:w="85" w:type="dxa"/>
              <w:right w:w="85" w:type="dxa"/>
            </w:tcMar>
            <w:shd w:fill="404040"/>
          </w:tcPr>
          <w:p>
            <w:pPr>
              <w:spacing w:before="40" w:after="40"/>
            </w:pPr>
            <w:r>
              <w:rPr>
                <w:b/>
                <w:color w:val="FFFFFF"/>
                <w:sz w:val="20"/>
              </w:rPr>
              <w:t>Meaning</w:t>
            </w:r>
          </w:p>
        </w:tc>
      </w:tr>
      <w:tr>
        <w:trPr>
          <w:cantSplit/>
        </w:trPr>
        <w:tc>
          <w:tcPr>
            <w:tcW w:type="dxa" w:w="2376"/>
            <w:vAlign w:val="center"/>
            <w:tcMar>
              <w:top w:w="85" w:type="dxa"/>
              <w:left w:w="85" w:type="dxa"/>
              <w:bottom w:w="85" w:type="dxa"/>
              <w:right w:w="85" w:type="dxa"/>
            </w:tcMar>
          </w:tcPr>
          <w:p>
            <w:pPr>
              <w:spacing w:before="40" w:after="40"/>
            </w:pPr>
            <w:r>
              <w:rPr>
                <w:sz w:val="20"/>
              </w:rPr>
              <w:t>Messianic Prophecy</w:t>
            </w:r>
          </w:p>
        </w:tc>
        <w:tc>
          <w:tcPr>
            <w:tcW w:type="dxa" w:w="7416"/>
            <w:vAlign w:val="center"/>
            <w:tcMar>
              <w:top w:w="85" w:type="dxa"/>
              <w:left w:w="85" w:type="dxa"/>
              <w:bottom w:w="85" w:type="dxa"/>
              <w:right w:w="85" w:type="dxa"/>
            </w:tcMar>
          </w:tcPr>
          <w:p>
            <w:pPr>
              <w:spacing w:before="40" w:after="40"/>
            </w:pPr>
            <w:r>
              <w:rPr>
                <w:sz w:val="20"/>
              </w:rPr>
              <w:t>A prophetic or royal oracle applied to the Messiah. The label does not deny an earlier historical horizon.</w:t>
            </w:r>
          </w:p>
        </w:tc>
      </w:tr>
      <w:tr>
        <w:trPr>
          <w:cantSplit/>
        </w:trPr>
        <w:tc>
          <w:tcPr>
            <w:tcW w:type="dxa" w:w="2376"/>
            <w:vAlign w:val="center"/>
            <w:tcMar>
              <w:top w:w="85" w:type="dxa"/>
              <w:left w:w="85" w:type="dxa"/>
              <w:bottom w:w="85" w:type="dxa"/>
              <w:right w:w="85" w:type="dxa"/>
            </w:tcMar>
            <w:shd w:fill="F6F6F6"/>
          </w:tcPr>
          <w:p>
            <w:pPr>
              <w:spacing w:before="40" w:after="40"/>
            </w:pPr>
            <w:r>
              <w:rPr>
                <w:sz w:val="20"/>
              </w:rPr>
              <w:t>Promise</w:t>
            </w:r>
          </w:p>
        </w:tc>
        <w:tc>
          <w:tcPr>
            <w:tcW w:type="dxa" w:w="7416"/>
            <w:vAlign w:val="center"/>
            <w:tcMar>
              <w:top w:w="85" w:type="dxa"/>
              <w:left w:w="85" w:type="dxa"/>
              <w:bottom w:w="85" w:type="dxa"/>
              <w:right w:w="85" w:type="dxa"/>
            </w:tcMar>
            <w:shd w:fill="F6F6F6"/>
          </w:tcPr>
          <w:p>
            <w:pPr>
              <w:spacing w:before="40" w:after="40"/>
            </w:pPr>
            <w:r>
              <w:rPr>
                <w:sz w:val="20"/>
              </w:rPr>
              <w:t>A divine commitment whose fulfillment the NT locates in Christ and, where stated, those belonging to him.</w:t>
            </w:r>
          </w:p>
        </w:tc>
      </w:tr>
      <w:tr>
        <w:trPr>
          <w:cantSplit/>
        </w:trPr>
        <w:tc>
          <w:tcPr>
            <w:tcW w:type="dxa" w:w="2376"/>
            <w:vAlign w:val="center"/>
            <w:tcMar>
              <w:top w:w="85" w:type="dxa"/>
              <w:left w:w="85" w:type="dxa"/>
              <w:bottom w:w="85" w:type="dxa"/>
              <w:right w:w="85" w:type="dxa"/>
            </w:tcMar>
          </w:tcPr>
          <w:p>
            <w:pPr>
              <w:spacing w:before="40" w:after="40"/>
            </w:pPr>
            <w:r>
              <w:rPr>
                <w:sz w:val="20"/>
              </w:rPr>
              <w:t>Type / Foreshadowing</w:t>
            </w:r>
          </w:p>
        </w:tc>
        <w:tc>
          <w:tcPr>
            <w:tcW w:type="dxa" w:w="7416"/>
            <w:vAlign w:val="center"/>
            <w:tcMar>
              <w:top w:w="85" w:type="dxa"/>
              <w:left w:w="85" w:type="dxa"/>
              <w:bottom w:w="85" w:type="dxa"/>
              <w:right w:w="85" w:type="dxa"/>
            </w:tcMar>
          </w:tcPr>
          <w:p>
            <w:pPr>
              <w:spacing w:before="40" w:after="40"/>
            </w:pPr>
            <w:r>
              <w:rPr>
                <w:sz w:val="20"/>
              </w:rPr>
              <w:t>A bounded correspondence involving a person, event or institution and Christ or his saving work.</w:t>
            </w:r>
          </w:p>
        </w:tc>
      </w:tr>
      <w:tr>
        <w:trPr>
          <w:cantSplit/>
        </w:trPr>
        <w:tc>
          <w:tcPr>
            <w:tcW w:type="dxa" w:w="2376"/>
            <w:vAlign w:val="center"/>
            <w:tcMar>
              <w:top w:w="85" w:type="dxa"/>
              <w:left w:w="85" w:type="dxa"/>
              <w:bottom w:w="85" w:type="dxa"/>
              <w:right w:w="85" w:type="dxa"/>
            </w:tcMar>
            <w:shd w:fill="F6F6F6"/>
          </w:tcPr>
          <w:p>
            <w:pPr>
              <w:spacing w:before="40" w:after="40"/>
            </w:pPr>
            <w:r>
              <w:rPr>
                <w:sz w:val="20"/>
              </w:rPr>
              <w:t>Canonical Pattern</w:t>
            </w:r>
          </w:p>
        </w:tc>
        <w:tc>
          <w:tcPr>
            <w:tcW w:type="dxa" w:w="7416"/>
            <w:vAlign w:val="center"/>
            <w:tcMar>
              <w:top w:w="85" w:type="dxa"/>
              <w:left w:w="85" w:type="dxa"/>
              <w:bottom w:w="85" w:type="dxa"/>
              <w:right w:w="85" w:type="dxa"/>
            </w:tcMar>
            <w:shd w:fill="F6F6F6"/>
          </w:tcPr>
          <w:p>
            <w:pPr>
              <w:spacing w:before="40" w:after="40"/>
            </w:pPr>
            <w:r>
              <w:rPr>
                <w:sz w:val="20"/>
              </w:rPr>
              <w:t>A developing scriptural pattern, comparison or representative relationship brought into focus in Christ.</w:t>
            </w:r>
          </w:p>
        </w:tc>
      </w:tr>
    </w:tbl>
    <w:p>
      <w:pPr>
        <w:keepNext w:val="0"/>
      </w:pPr>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376"/>
        <w:gridCol w:w="7416"/>
      </w:tblGrid>
      <w:tr>
        <w:trPr>
          <w:tblHeader/>
          <w:cantSplit/>
        </w:trPr>
        <w:tc>
          <w:tcPr>
            <w:tcW w:type="dxa" w:w="2376"/>
            <w:vAlign w:val="center"/>
            <w:tcMar>
              <w:top w:w="85" w:type="dxa"/>
              <w:left w:w="85" w:type="dxa"/>
              <w:bottom w:w="85" w:type="dxa"/>
              <w:right w:w="85" w:type="dxa"/>
            </w:tcMar>
            <w:shd w:fill="404040"/>
          </w:tcPr>
          <w:p>
            <w:pPr>
              <w:spacing w:before="40" w:after="40"/>
            </w:pPr>
            <w:r>
              <w:rPr>
                <w:b/>
                <w:color w:val="FFFFFF"/>
                <w:sz w:val="20"/>
              </w:rPr>
              <w:t>Credibility</w:t>
            </w:r>
          </w:p>
        </w:tc>
        <w:tc>
          <w:tcPr>
            <w:tcW w:type="dxa" w:w="7416"/>
            <w:vAlign w:val="center"/>
            <w:tcMar>
              <w:top w:w="85" w:type="dxa"/>
              <w:left w:w="85" w:type="dxa"/>
              <w:bottom w:w="85" w:type="dxa"/>
              <w:right w:w="85" w:type="dxa"/>
            </w:tcMar>
            <w:shd w:fill="404040"/>
          </w:tcPr>
          <w:p>
            <w:pPr>
              <w:spacing w:before="40" w:after="40"/>
            </w:pPr>
            <w:r>
              <w:rPr>
                <w:b/>
                <w:color w:val="FFFFFF"/>
                <w:sz w:val="20"/>
              </w:rPr>
              <w:t>Meaning</w:t>
            </w:r>
          </w:p>
        </w:tc>
      </w:tr>
      <w:tr>
        <w:trPr>
          <w:cantSplit/>
        </w:trPr>
        <w:tc>
          <w:tcPr>
            <w:tcW w:type="dxa" w:w="2376"/>
            <w:vAlign w:val="center"/>
            <w:tcMar>
              <w:top w:w="85" w:type="dxa"/>
              <w:left w:w="85" w:type="dxa"/>
              <w:bottom w:w="85" w:type="dxa"/>
              <w:right w:w="85" w:type="dxa"/>
            </w:tcMar>
          </w:tcPr>
          <w:p>
            <w:pPr>
              <w:spacing w:before="40" w:after="40"/>
            </w:pPr>
            <w:r>
              <w:rPr>
                <w:sz w:val="20"/>
              </w:rPr>
              <w:t>Explicit</w:t>
            </w:r>
          </w:p>
        </w:tc>
        <w:tc>
          <w:tcPr>
            <w:tcW w:type="dxa" w:w="7416"/>
            <w:vAlign w:val="center"/>
            <w:tcMar>
              <w:top w:w="85" w:type="dxa"/>
              <w:left w:w="85" w:type="dxa"/>
              <w:bottom w:w="85" w:type="dxa"/>
              <w:right w:w="85" w:type="dxa"/>
            </w:tcMar>
          </w:tcPr>
          <w:p>
            <w:pPr>
              <w:spacing w:before="40" w:after="40"/>
            </w:pPr>
            <w:r>
              <w:rPr>
                <w:sz w:val="20"/>
              </w:rPr>
              <w:t>The NT directly quotes, identifies or unmistakably compares the relevant text or scene. The exact scope matters: Noah’s direct counterpart is baptism.</w:t>
            </w:r>
          </w:p>
        </w:tc>
      </w:tr>
      <w:tr>
        <w:trPr>
          <w:cantSplit/>
        </w:trPr>
        <w:tc>
          <w:tcPr>
            <w:tcW w:type="dxa" w:w="2376"/>
            <w:vAlign w:val="center"/>
            <w:tcMar>
              <w:top w:w="85" w:type="dxa"/>
              <w:left w:w="85" w:type="dxa"/>
              <w:bottom w:w="85" w:type="dxa"/>
              <w:right w:w="85" w:type="dxa"/>
            </w:tcMar>
            <w:shd w:fill="F6F6F6"/>
          </w:tcPr>
          <w:p>
            <w:pPr>
              <w:spacing w:before="40" w:after="40"/>
            </w:pPr>
            <w:r>
              <w:rPr>
                <w:sz w:val="20"/>
              </w:rPr>
              <w:t>Strongly Established</w:t>
            </w:r>
          </w:p>
        </w:tc>
        <w:tc>
          <w:tcPr>
            <w:tcW w:type="dxa" w:w="7416"/>
            <w:vAlign w:val="center"/>
            <w:tcMar>
              <w:top w:w="85" w:type="dxa"/>
              <w:left w:w="85" w:type="dxa"/>
              <w:bottom w:w="85" w:type="dxa"/>
              <w:right w:w="85" w:type="dxa"/>
            </w:tcMar>
            <w:shd w:fill="F6F6F6"/>
          </w:tcPr>
          <w:p>
            <w:pPr>
              <w:spacing w:before="40" w:after="40"/>
            </w:pPr>
            <w:r>
              <w:rPr>
                <w:sz w:val="20"/>
              </w:rPr>
              <w:t>Substantial contextual and canonical connections support the reading, but direct NT identification of the precise claim is absent. The argument and strongest objection remain visible.</w:t>
            </w:r>
          </w:p>
        </w:tc>
      </w:tr>
      <w:tr>
        <w:trPr>
          <w:cantSplit/>
        </w:trPr>
        <w:tc>
          <w:tcPr>
            <w:tcW w:type="dxa" w:w="2376"/>
            <w:vAlign w:val="center"/>
            <w:tcMar>
              <w:top w:w="85" w:type="dxa"/>
              <w:left w:w="85" w:type="dxa"/>
              <w:bottom w:w="85" w:type="dxa"/>
              <w:right w:w="85" w:type="dxa"/>
            </w:tcMar>
          </w:tcPr>
          <w:p>
            <w:pPr>
              <w:spacing w:before="40" w:after="40"/>
            </w:pPr>
            <w:r>
              <w:rPr>
                <w:sz w:val="20"/>
              </w:rPr>
              <w:t>Plausible Echo</w:t>
            </w:r>
          </w:p>
        </w:tc>
        <w:tc>
          <w:tcPr>
            <w:tcW w:type="dxa" w:w="7416"/>
            <w:vAlign w:val="center"/>
            <w:tcMar>
              <w:top w:w="85" w:type="dxa"/>
              <w:left w:w="85" w:type="dxa"/>
              <w:bottom w:w="85" w:type="dxa"/>
              <w:right w:w="85" w:type="dxa"/>
            </w:tcMar>
          </w:tcPr>
          <w:p>
            <w:pPr>
              <w:spacing w:before="40" w:after="40"/>
            </w:pPr>
            <w:r>
              <w:rPr>
                <w:sz w:val="20"/>
              </w:rPr>
              <w:t>A possible connection merits consideration, but alternatives or missing links prevent confident public teaching as an established correspondence.</w:t>
            </w:r>
          </w:p>
        </w:tc>
      </w:tr>
      <w:tr>
        <w:trPr>
          <w:cantSplit/>
        </w:trPr>
        <w:tc>
          <w:tcPr>
            <w:tcW w:type="dxa" w:w="2376"/>
            <w:vAlign w:val="center"/>
            <w:tcMar>
              <w:top w:w="85" w:type="dxa"/>
              <w:left w:w="85" w:type="dxa"/>
              <w:bottom w:w="85" w:type="dxa"/>
              <w:right w:w="85" w:type="dxa"/>
            </w:tcMar>
            <w:shd w:fill="F6F6F6"/>
          </w:tcPr>
          <w:p>
            <w:pPr>
              <w:spacing w:before="40" w:after="40"/>
            </w:pPr>
            <w:r>
              <w:rPr>
                <w:sz w:val="20"/>
              </w:rPr>
              <w:t>Excluded / Speculative</w:t>
            </w:r>
          </w:p>
        </w:tc>
        <w:tc>
          <w:tcPr>
            <w:tcW w:type="dxa" w:w="7416"/>
            <w:vAlign w:val="center"/>
            <w:tcMar>
              <w:top w:w="85" w:type="dxa"/>
              <w:left w:w="85" w:type="dxa"/>
              <w:bottom w:w="85" w:type="dxa"/>
              <w:right w:w="85" w:type="dxa"/>
            </w:tcMar>
            <w:shd w:fill="F6F6F6"/>
          </w:tcPr>
          <w:p>
            <w:pPr>
              <w:spacing w:before="40" w:after="40"/>
            </w:pPr>
            <w:r>
              <w:rPr>
                <w:sz w:val="20"/>
              </w:rPr>
              <w:t>The proposed claim depends on unsupported detail, contradicts the text or lacks a controlled bridge. Rejecting a claim does not deny the value of the passage.</w:t>
            </w:r>
          </w:p>
        </w:tc>
      </w:tr>
    </w:tbl>
    <w:p>
      <w:pPr>
        <w:keepNext w:val="0"/>
      </w:pPr>
      <w:r/>
    </w:p>
    <w:p>
      <w:pPr>
        <w:keepNext w:val="0"/>
      </w:pPr>
      <w:r>
        <w:t>Public badges should use these plain labels with an accessible explanation. Avoid percentages, stars, “scientifically proven” or “fulfilled prophecy” as a blanket badge. Rate the actual retained connection and place material qualifications beside the claim.</w:t>
      </w:r>
    </w:p>
    <w:p>
      <w:pPr>
        <w:pStyle w:val="Heading1"/>
      </w:pPr>
      <w:r>
        <w:t>Recommended public selection</w:t>
      </w:r>
    </w:p>
    <w:p>
      <w:pPr>
        <w:keepNext w:val="0"/>
      </w:pPr>
      <w:r>
        <w:t>Recommended title: Foreshadowing Jesus. Recommended subtitle: How the Old Testament Points to Christ. The subtitle makes room for promise and prophecy as well as foreshadowing.</w:t>
      </w:r>
    </w:p>
    <w:p>
      <w:pPr>
        <w:keepNext w:val="0"/>
      </w:pPr>
      <w:r>
        <w:t>Use 24 anchor encounters and 11 shorter connections within eight movements. The remaining 17 profiles belong in optional explanation or research, with Daniel 9 retained in research after its completed focused audit. These are editorial priorities, not mandatory section counts or a theological ranking. A short connection can be woven into adjoining prose while retaining its evidence identity.</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160"/>
        <w:gridCol w:w="7632"/>
      </w:tblGrid>
      <w:tr>
        <w:trPr>
          <w:tblHeader/>
          <w:cantSplit/>
        </w:trPr>
        <w:tc>
          <w:tcPr>
            <w:tcW w:type="dxa" w:w="2160"/>
            <w:vAlign w:val="center"/>
            <w:tcMar>
              <w:top w:w="85" w:type="dxa"/>
              <w:left w:w="85" w:type="dxa"/>
              <w:bottom w:w="85" w:type="dxa"/>
              <w:right w:w="85" w:type="dxa"/>
            </w:tcMar>
            <w:shd w:fill="404040"/>
          </w:tcPr>
          <w:p>
            <w:pPr>
              <w:spacing w:before="40" w:after="40"/>
            </w:pPr>
            <w:r>
              <w:rPr>
                <w:b/>
                <w:color w:val="FFFFFF"/>
                <w:sz w:val="20"/>
              </w:rPr>
              <w:t>Priority</w:t>
            </w:r>
          </w:p>
        </w:tc>
        <w:tc>
          <w:tcPr>
            <w:tcW w:type="dxa" w:w="7632"/>
            <w:vAlign w:val="center"/>
            <w:tcMar>
              <w:top w:w="85" w:type="dxa"/>
              <w:left w:w="85" w:type="dxa"/>
              <w:bottom w:w="85" w:type="dxa"/>
              <w:right w:w="85" w:type="dxa"/>
            </w:tcMar>
            <w:shd w:fill="404040"/>
          </w:tcPr>
          <w:p>
            <w:pPr>
              <w:spacing w:before="40" w:after="40"/>
            </w:pPr>
            <w:r>
              <w:rPr>
                <w:b/>
                <w:color w:val="FFFFFF"/>
                <w:sz w:val="20"/>
              </w:rPr>
              <w:t>Encounters in narrative order</w:t>
            </w:r>
          </w:p>
        </w:tc>
      </w:tr>
      <w:tr>
        <w:trPr>
          <w:cantSplit/>
        </w:trPr>
        <w:tc>
          <w:tcPr>
            <w:tcW w:type="dxa" w:w="2160"/>
            <w:vAlign w:val="center"/>
            <w:tcMar>
              <w:top w:w="85" w:type="dxa"/>
              <w:left w:w="85" w:type="dxa"/>
              <w:bottom w:w="85" w:type="dxa"/>
              <w:right w:w="85" w:type="dxa"/>
            </w:tcMar>
          </w:tcPr>
          <w:p>
            <w:pPr>
              <w:spacing w:before="40" w:after="40"/>
            </w:pPr>
            <w:r>
              <w:rPr>
                <w:sz w:val="20"/>
              </w:rPr>
              <w:t>1 Anchor</w:t>
            </w:r>
          </w:p>
        </w:tc>
        <w:tc>
          <w:tcPr>
            <w:tcW w:type="dxa" w:w="7632"/>
            <w:vAlign w:val="center"/>
            <w:tcMar>
              <w:top w:w="85" w:type="dxa"/>
              <w:left w:w="85" w:type="dxa"/>
              <w:bottom w:w="85" w:type="dxa"/>
              <w:right w:w="85" w:type="dxa"/>
            </w:tcMar>
          </w:tcPr>
          <w:p>
            <w:pPr>
              <w:spacing w:before="40" w:after="40"/>
            </w:pPr>
            <w:r>
              <w:rPr>
                <w:sz w:val="20"/>
              </w:rPr>
              <w:t>C01, C05, C06, C07, C11, C12, C13, C15, C16, C17, C18, C19, C22, C24, C25, C28, C30, C34, C36, C38, C41, C43, C45, C47</w:t>
            </w:r>
          </w:p>
        </w:tc>
      </w:tr>
      <w:tr>
        <w:trPr>
          <w:cantSplit/>
        </w:trPr>
        <w:tc>
          <w:tcPr>
            <w:tcW w:type="dxa" w:w="2160"/>
            <w:vAlign w:val="center"/>
            <w:tcMar>
              <w:top w:w="85" w:type="dxa"/>
              <w:left w:w="85" w:type="dxa"/>
              <w:bottom w:w="85" w:type="dxa"/>
              <w:right w:w="85" w:type="dxa"/>
            </w:tcMar>
            <w:shd w:fill="F6F6F6"/>
          </w:tcPr>
          <w:p>
            <w:pPr>
              <w:spacing w:before="40" w:after="40"/>
            </w:pPr>
            <w:r>
              <w:rPr>
                <w:sz w:val="20"/>
              </w:rPr>
              <w:t>2 Short connection</w:t>
            </w:r>
          </w:p>
        </w:tc>
        <w:tc>
          <w:tcPr>
            <w:tcW w:type="dxa" w:w="7632"/>
            <w:vAlign w:val="center"/>
            <w:tcMar>
              <w:top w:w="85" w:type="dxa"/>
              <w:left w:w="85" w:type="dxa"/>
              <w:bottom w:w="85" w:type="dxa"/>
              <w:right w:w="85" w:type="dxa"/>
            </w:tcMar>
            <w:shd w:fill="F6F6F6"/>
          </w:tcPr>
          <w:p>
            <w:pPr>
              <w:spacing w:before="40" w:after="40"/>
            </w:pPr>
            <w:r>
              <w:rPr>
                <w:sz w:val="20"/>
              </w:rPr>
              <w:t>C02, C08, C09, C14, C29, C31, C32, C33, C37, C40, C46</w:t>
            </w:r>
          </w:p>
        </w:tc>
      </w:tr>
      <w:tr>
        <w:trPr>
          <w:cantSplit/>
        </w:trPr>
        <w:tc>
          <w:tcPr>
            <w:tcW w:type="dxa" w:w="2160"/>
            <w:vAlign w:val="center"/>
            <w:tcMar>
              <w:top w:w="85" w:type="dxa"/>
              <w:left w:w="85" w:type="dxa"/>
              <w:bottom w:w="85" w:type="dxa"/>
              <w:right w:w="85" w:type="dxa"/>
            </w:tcMar>
          </w:tcPr>
          <w:p>
            <w:pPr>
              <w:spacing w:before="40" w:after="40"/>
            </w:pPr>
            <w:r>
              <w:rPr>
                <w:sz w:val="20"/>
              </w:rPr>
              <w:t>3 Optional or research</w:t>
            </w:r>
          </w:p>
        </w:tc>
        <w:tc>
          <w:tcPr>
            <w:tcW w:type="dxa" w:w="7632"/>
            <w:vAlign w:val="center"/>
            <w:tcMar>
              <w:top w:w="85" w:type="dxa"/>
              <w:left w:w="85" w:type="dxa"/>
              <w:bottom w:w="85" w:type="dxa"/>
              <w:right w:w="85" w:type="dxa"/>
            </w:tcMar>
          </w:tcPr>
          <w:p>
            <w:pPr>
              <w:spacing w:before="40" w:after="40"/>
            </w:pPr>
            <w:r>
              <w:rPr>
                <w:sz w:val="20"/>
              </w:rPr>
              <w:t>C03, C04, C10, C20, C21, C48, C23, C49, C26, C27, C52, C50, C51, C35, C39, C42, C44</w:t>
            </w:r>
          </w:p>
        </w:tc>
      </w:tr>
    </w:tbl>
    <w:p>
      <w:pPr>
        <w:keepNext w:val="0"/>
      </w:pPr>
      <w:r/>
    </w:p>
    <w:p>
      <w:pPr>
        <w:keepNext w:val="0"/>
      </w:pPr>
      <w:r>
        <w:t>Plan approximately 4,500–5,500 words of primary prose and displayed Scripture, excluding optional depth. At an assumed 180 words per minute, this is about 25–31 minutes before reflection, not a measured reading-time result. Give the eight movements clear stopping points and Journey Progress access. Do not force the full research ledger into the primary scroll.</w:t>
      </w:r>
    </w:p>
    <w:p>
      <w:pPr>
        <w:keepNext w:val="0"/>
      </w:pPr>
      <w:r>
        <w:t>A short OT scene should lead to the NT connection and a plain explanation of its significance. Occasional comparisons and Scripture blocks can vary the pacing. Optional depth answers a genuine difficulty; the research download provides fuller evidence. Baptism is the quality benchmark, not a compulsory nine-act or five-panel template.</w:t>
      </w:r>
    </w:p>
    <w:p>
      <w:pPr>
        <w:pStyle w:val="Heading1"/>
      </w:pPr>
      <w:r>
        <w:t>Preliminary chronological storyboard</w:t>
      </w:r>
    </w:p>
    <w:p>
      <w:pPr>
        <w:pStyle w:val="Heading2"/>
      </w:pPr>
      <w:r>
        <w:t>1 Creation and the first hope</w:t>
      </w:r>
    </w:p>
    <w:p>
      <w:pPr>
        <w:keepNext/>
      </w:pPr>
      <w:r>
        <w:rPr>
          <w:b/>
        </w:rPr>
        <w:t xml:space="preserve">Main encounters. </w:t>
      </w:r>
      <w:r>
        <w:t>C01, C02</w:t>
      </w:r>
    </w:p>
    <w:p>
      <w:pPr>
        <w:keepNext w:val="0"/>
      </w:pPr>
      <w:r>
        <w:t>Human calling and failure introduce Adam’s explicit comparison and the qualified serpent-victory horizon. Optional Abel and Noah depth should not delay the main story.</w:t>
      </w:r>
    </w:p>
    <w:p>
      <w:pPr>
        <w:keepNext w:val="0"/>
      </w:pPr>
      <w:r>
        <w:rPr>
          <w:b/>
        </w:rPr>
        <w:t xml:space="preserve">Visual opportunity. </w:t>
      </w:r>
      <w:r>
        <w:t>A restrained dawn landscape can establish creation and loss. Do not hide a cross in a tree as though the image were evidence.</w:t>
      </w:r>
    </w:p>
    <w:p>
      <w:pPr>
        <w:keepNext w:val="0"/>
      </w:pPr>
      <w:r>
        <w:rPr>
          <w:b/>
        </w:rPr>
        <w:t xml:space="preserve">Transition. </w:t>
      </w:r>
      <w:r>
        <w:t>The broken human story opens into a promise of blessing for the nations.</w:t>
      </w:r>
    </w:p>
    <w:p>
      <w:pPr>
        <w:pStyle w:val="Heading2"/>
      </w:pPr>
      <w:r>
        <w:t>2 Promise and provision</w:t>
      </w:r>
    </w:p>
    <w:p>
      <w:pPr>
        <w:keepNext/>
      </w:pPr>
      <w:r>
        <w:rPr>
          <w:b/>
        </w:rPr>
        <w:t xml:space="preserve">Main encounters. </w:t>
      </w:r>
      <w:r>
        <w:t>C05, C06, C07, C08, C09</w:t>
      </w:r>
    </w:p>
    <w:p>
      <w:pPr>
        <w:keepNext w:val="0"/>
      </w:pPr>
      <w:r>
        <w:t>Follow Abraham’s blessing, Melchizedek’s priesthood, Isaac and provision, Jacob’s opened heaven, and Joseph’s rejection and preservation of his family. Judah can be a brief forward link. Preserve the different credibility labels.</w:t>
      </w:r>
    </w:p>
    <w:p>
      <w:pPr>
        <w:keepNext w:val="0"/>
      </w:pPr>
      <w:r>
        <w:rPr>
          <w:b/>
        </w:rPr>
        <w:t xml:space="preserve">Visual opportunity. </w:t>
      </w:r>
      <w:r>
        <w:t>One restrained mountain-provision scene could serve the movement. Depict Genesis’s scene without adding crucifixion props.</w:t>
      </w:r>
    </w:p>
    <w:p>
      <w:pPr>
        <w:keepNext w:val="0"/>
      </w:pPr>
      <w:r>
        <w:rPr>
          <w:b/>
        </w:rPr>
        <w:t xml:space="preserve">Transition. </w:t>
      </w:r>
      <w:r>
        <w:t>The family preserved in Egypt becomes a people needing deliverance.</w:t>
      </w:r>
    </w:p>
    <w:p>
      <w:pPr>
        <w:pStyle w:val="Heading2"/>
      </w:pPr>
      <w:r>
        <w:t>3 Deliverance and life in the wilderness</w:t>
      </w:r>
    </w:p>
    <w:p>
      <w:pPr>
        <w:keepNext/>
      </w:pPr>
      <w:r>
        <w:rPr>
          <w:b/>
        </w:rPr>
        <w:t xml:space="preserve">Main encounters. </w:t>
      </w:r>
      <w:r>
        <w:t>C11, C12, C13, C14</w:t>
      </w:r>
    </w:p>
    <w:p>
      <w:pPr>
        <w:keepNext w:val="0"/>
      </w:pPr>
      <w:r>
        <w:t>Passover leads into Exodus, then bread and water on the way to Sinai. Later wilderness references belong within the relevant encounter without becoming a second telling.</w:t>
      </w:r>
    </w:p>
    <w:p>
      <w:pPr>
        <w:keepNext w:val="0"/>
      </w:pPr>
      <w:r>
        <w:rPr>
          <w:b/>
        </w:rPr>
        <w:t xml:space="preserve">Visual opportunity. </w:t>
      </w:r>
      <w:r>
        <w:t>Passover is a strong major illustration opportunity. Bread and water can be conveyed through Scripture and concise comparison rather than compulsory additional images.</w:t>
      </w:r>
    </w:p>
    <w:p>
      <w:pPr>
        <w:keepNext w:val="0"/>
      </w:pPr>
      <w:r>
        <w:rPr>
          <w:b/>
        </w:rPr>
        <w:t xml:space="preserve">Transition. </w:t>
      </w:r>
      <w:r>
        <w:t>Rescue raises the question of how a holy God dwells among his people.</w:t>
      </w:r>
    </w:p>
    <w:p>
      <w:pPr>
        <w:pStyle w:val="Heading2"/>
      </w:pPr>
      <w:r>
        <w:t>4 God dwelling among his people</w:t>
      </w:r>
    </w:p>
    <w:p>
      <w:pPr>
        <w:keepNext/>
      </w:pPr>
      <w:r>
        <w:rPr>
          <w:b/>
        </w:rPr>
        <w:t xml:space="preserve">Main encounters. </w:t>
      </w:r>
      <w:r>
        <w:t>C15, C16, C17, C18, C19</w:t>
      </w:r>
    </w:p>
    <w:p>
      <w:pPr>
        <w:keepNext w:val="0"/>
      </w:pPr>
      <w:r>
        <w:t>At Sinai, explain presence, priesthood, sacrifice and annual atonement together. Continue through the wilderness to the bronze serpent and Moses’s promised prophet. The people still need life and God’s faithful word.</w:t>
      </w:r>
    </w:p>
    <w:p>
      <w:pPr>
        <w:keepNext w:val="0"/>
      </w:pPr>
      <w:r>
        <w:rPr>
          <w:b/>
        </w:rPr>
        <w:t xml:space="preserve">Visual opportunity. </w:t>
      </w:r>
      <w:r>
        <w:t>A sanctuary view may clarify separation and access. Identify actual features without giving every measurement or colour a hidden meaning.</w:t>
      </w:r>
    </w:p>
    <w:p>
      <w:pPr>
        <w:keepNext w:val="0"/>
      </w:pPr>
      <w:r>
        <w:rPr>
          <w:b/>
        </w:rPr>
        <w:t xml:space="preserve">Transition. </w:t>
      </w:r>
      <w:r>
        <w:t>The need for faithful mediation carries forward toward kingship.</w:t>
      </w:r>
    </w:p>
    <w:p>
      <w:pPr>
        <w:pStyle w:val="Heading2"/>
      </w:pPr>
      <w:r>
        <w:t>5 The king and the songs of hope</w:t>
      </w:r>
    </w:p>
    <w:p>
      <w:pPr>
        <w:keepNext/>
      </w:pPr>
      <w:r>
        <w:rPr>
          <w:b/>
        </w:rPr>
        <w:t xml:space="preserve">Main encounters. </w:t>
      </w:r>
      <w:r>
        <w:t>C22, C24, C25, C28, C29</w:t>
      </w:r>
    </w:p>
    <w:p>
      <w:pPr>
        <w:keepNext w:val="0"/>
      </w:pPr>
      <w:r>
        <w:t>David’s covenant supplies the backbone. Psalms develop resurrection, righteous suffering, royal priesthood and rejected-then-vindicated stone imagery. Solomon, Psalm 2 and Psalm 8 are optional supporting depth.</w:t>
      </w:r>
    </w:p>
    <w:p>
      <w:pPr>
        <w:keepNext w:val="0"/>
      </w:pPr>
      <w:r>
        <w:rPr>
          <w:b/>
        </w:rPr>
        <w:t xml:space="preserve">Visual opportunity. </w:t>
      </w:r>
      <w:r>
        <w:t>A royal or manuscript composition can serve the movement. Avoid a literal prophetic photograph of crucifixion based on the disputed Psalm 22 line.</w:t>
      </w:r>
    </w:p>
    <w:p>
      <w:pPr>
        <w:keepNext w:val="0"/>
      </w:pPr>
      <w:r>
        <w:rPr>
          <w:b/>
        </w:rPr>
        <w:t xml:space="preserve">Transition. </w:t>
      </w:r>
      <w:r>
        <w:t>The failures of kings deepen the longing for a righteous ruler.</w:t>
      </w:r>
    </w:p>
    <w:p>
      <w:pPr>
        <w:pStyle w:val="Heading2"/>
      </w:pPr>
      <w:r>
        <w:t>6 Prophetic hope amid failure</w:t>
      </w:r>
    </w:p>
    <w:p>
      <w:pPr>
        <w:keepNext/>
      </w:pPr>
      <w:r>
        <w:rPr>
          <w:b/>
        </w:rPr>
        <w:t xml:space="preserve">Main encounters. </w:t>
      </w:r>
      <w:r>
        <w:t>C30, C31, C32, C33, C34, C36, C37</w:t>
      </w:r>
    </w:p>
    <w:p>
      <w:pPr>
        <w:keepNext w:val="0"/>
      </w:pPr>
      <w:r>
        <w:t>Move through Jonah’s sign, Immanuel, Galilee’s light, the Davidic shoot and Bethlehem toward the Servant and good news. The Servant is the centre of gravity. Optional Amos and Isaiah material stays in its narrative position.</w:t>
      </w:r>
    </w:p>
    <w:p>
      <w:pPr>
        <w:keepNext w:val="0"/>
      </w:pPr>
      <w:r>
        <w:rPr>
          <w:b/>
        </w:rPr>
        <w:t xml:space="preserve">Visual opportunity. </w:t>
      </w:r>
      <w:r>
        <w:t>A restrained Servant illustration can hold suffering and hope without graphic spectacle. It should not pretend to document the appearance of an ancient figure.</w:t>
      </w:r>
    </w:p>
    <w:p>
      <w:pPr>
        <w:keepNext w:val="0"/>
      </w:pPr>
      <w:r>
        <w:rPr>
          <w:b/>
        </w:rPr>
        <w:t xml:space="preserve">Transition. </w:t>
      </w:r>
      <w:r>
        <w:t>Forgiveness and restoration require more than another temporary recovery.</w:t>
      </w:r>
    </w:p>
    <w:p>
      <w:pPr>
        <w:pStyle w:val="Heading2"/>
      </w:pPr>
      <w:r>
        <w:t>7 Covenant renewal and an enduring kingdom</w:t>
      </w:r>
    </w:p>
    <w:p>
      <w:pPr>
        <w:keepNext/>
      </w:pPr>
      <w:r>
        <w:rPr>
          <w:b/>
        </w:rPr>
        <w:t xml:space="preserve">Main encounters. </w:t>
      </w:r>
      <w:r>
        <w:t>C38, C40, C41</w:t>
      </w:r>
    </w:p>
    <w:p>
      <w:pPr>
        <w:keepNext w:val="0"/>
      </w:pPr>
      <w:r>
        <w:t>Jeremiah’s new covenant, Ezekiel’s shepherd and Daniel’s human figure carry forgiveness, gathering and dominion through the setting of exile. The completed Daniel 9 audit recommends research-only placement, without an exact-date proof.</w:t>
      </w:r>
    </w:p>
    <w:p>
      <w:pPr>
        <w:keepNext w:val="0"/>
      </w:pPr>
      <w:r>
        <w:rPr>
          <w:b/>
        </w:rPr>
        <w:t xml:space="preserve">Visual opportunity. </w:t>
      </w:r>
      <w:r>
        <w:t>An exilic landscape or gathering scene may serve the whole movement. Avoid a literal chart of heavenly geography.</w:t>
      </w:r>
    </w:p>
    <w:p>
      <w:pPr>
        <w:keepNext w:val="0"/>
      </w:pPr>
      <w:r>
        <w:rPr>
          <w:b/>
        </w:rPr>
        <w:t xml:space="preserve">Transition. </w:t>
      </w:r>
      <w:r>
        <w:t>Restoration hope continues into the life of the postexilic community.</w:t>
      </w:r>
    </w:p>
    <w:p>
      <w:pPr>
        <w:pStyle w:val="Heading2"/>
      </w:pPr>
      <w:r>
        <w:t>8 The coming king and the Gospel fulfillment</w:t>
      </w:r>
    </w:p>
    <w:p>
      <w:pPr>
        <w:keepNext/>
      </w:pPr>
      <w:r>
        <w:rPr>
          <w:b/>
        </w:rPr>
        <w:t xml:space="preserve">Main encounters. </w:t>
      </w:r>
      <w:r>
        <w:t>C43, C45, C46, C47</w:t>
      </w:r>
    </w:p>
    <w:p>
      <w:pPr>
        <w:keepNext w:val="0"/>
      </w:pPr>
      <w:r>
        <w:t>The humble king, pierced figure, struck shepherd and preparatory messenger bring the OT sequence to the Gospel threshold. Return to Luke 24: Christ died, rose, and sends the proclamation of repentance and forgiveness to the nations. Recall C35 briefly without retelling Isaiah.</w:t>
      </w:r>
    </w:p>
    <w:p>
      <w:pPr>
        <w:keepNext w:val="0"/>
      </w:pPr>
      <w:r>
        <w:rPr>
          <w:b/>
        </w:rPr>
        <w:t xml:space="preserve">Visual opportunity. </w:t>
      </w:r>
      <w:r>
        <w:t>A road toward Jerusalem or dawn composition can close the Journey in the established Living Word identity. The ending should invite the reader to meet Christ in Scripture.</w:t>
      </w:r>
    </w:p>
    <w:p>
      <w:pPr>
        <w:keepNext w:val="0"/>
      </w:pPr>
      <w:r>
        <w:rPr>
          <w:b/>
        </w:rPr>
        <w:t xml:space="preserve">Transition. </w:t>
      </w:r>
      <w:r>
        <w:t>Offer the Gospels and related existing Journeys as next steps, with research available for deeper investigation.</w:t>
      </w:r>
    </w:p>
    <w:p>
      <w:pPr>
        <w:keepNext w:val="0"/>
      </w:pPr>
      <w:r>
        <w:t>These image opportunities are alternatives within an economical plan, not a commission for one picture per movement. Reuse an established composition where appropriate. Preserve the Dawn Manuscript palette, contemplative space and Scripture-led pace. An illustration must not imply that a disputed textual or historical question has been settled.</w:t>
      </w:r>
    </w:p>
    <w:p>
      <w:pPr>
        <w:pStyle w:val="Heading1"/>
      </w:pPr>
      <w:r>
        <w:t>Decisions for Founder review</w:t>
      </w:r>
    </w:p>
    <w:p>
      <w:pPr>
        <w:pStyle w:val="Heading2"/>
      </w:pPr>
      <w:r>
        <w:t>Qualified connections</w:t>
      </w:r>
    </w:p>
    <w:p>
      <w:pPr>
        <w:keepNext w:val="0"/>
      </w:pPr>
      <w:r>
        <w:t>Retain Genesis 3, Isaac, Joseph, Judah and Ezekiel’s shepherd at Strongly Established. Their arguments merit inclusion or supporting depth, but they should not be upgraded to direct predictions for dramatic effect.</w:t>
      </w:r>
    </w:p>
    <w:p>
      <w:pPr>
        <w:pStyle w:val="Heading2"/>
      </w:pPr>
      <w:r>
        <w:t>Daniel 9</w:t>
      </w:r>
    </w:p>
    <w:p>
      <w:pPr>
        <w:keepNext w:val="0"/>
      </w:pPr>
      <w:r>
        <w:t>The completed focused audit recommends C — Research Layer Only. C42 is now Canonical Pattern — Plausible Echo; the exact-day proof is excluded. Review the accompanying Daniel 9 Critical Audit rather than treating the question as unaudited.</w:t>
      </w:r>
    </w:p>
    <w:p>
      <w:pPr>
        <w:pStyle w:val="Heading2"/>
      </w:pPr>
      <w:r>
        <w:t>Textual questions</w:t>
      </w:r>
    </w:p>
    <w:p>
      <w:pPr>
        <w:keepNext w:val="0"/>
      </w:pPr>
      <w:r>
        <w:t>Place short qualifications near public claims concerning Psalm 22, Isaiah 7 and Zechariah 12. Psalm 40 and Amos require their Hebrew–Greek notes if both forms are displayed.</w:t>
      </w:r>
    </w:p>
    <w:p>
      <w:pPr>
        <w:pStyle w:val="Heading2"/>
      </w:pPr>
      <w:r>
        <w:t>Length and depth</w:t>
      </w:r>
    </w:p>
    <w:p>
      <w:pPr>
        <w:keepNext w:val="0"/>
      </w:pPr>
      <w:r>
        <w:t>Use a selective primary path, with optional explanation genuinely optional. Preserve access to the whole evidence library independently of the scroll.</w:t>
      </w:r>
    </w:p>
    <w:p>
      <w:pPr>
        <w:pStyle w:val="Heading2"/>
      </w:pPr>
      <w:r>
        <w:t>Images and original languages</w:t>
      </w:r>
    </w:p>
    <w:p>
      <w:pPr>
        <w:keepNext w:val="0"/>
      </w:pPr>
      <w:r>
        <w:t>Choose explanations and images by reader need, not a fixed quota. These options are recommendations, not implemented features or approved artwork.</w:t>
      </w:r>
    </w:p>
    <w:p>
      <w:pPr>
        <w:keepNext w:val="0"/>
      </w:pPr>
      <w:r>
        <w:t>The central Christian conclusion is firm: the NT identifies Jesus with Israel’s promises, the decisive king and priest, the suffering and vindicated one, and the source of life and forgiveness. The claim that every earlier detail predicts him is not firm. The Journey should make the first conclusion clear without depending on the second.</w:t>
      </w:r>
    </w:p>
    <w:p>
      <w:pPr>
        <w:pStyle w:val="Heading1"/>
      </w:pPr>
      <w:r>
        <w:t>Chronological evidence ledger</w:t>
      </w:r>
    </w:p>
    <w:p>
      <w:pPr>
        <w:keepNext w:val="0"/>
      </w:pPr>
      <w:r>
        <w:t>Every profile records original context, the NT connection, language, historical care, assessment, strongest counterargument and a bounded conclusion. IDs remain stable when discoveries are inserted into narrative order. Where no secondary source is necessary for an explicit quotation, the textual argument is identified as the primary evidence; an unspecified scholarly consensus is not claimed.</w:t>
      </w:r>
    </w:p>
    <w:p>
      <w:pPr>
        <w:pStyle w:val="Heading2"/>
      </w:pPr>
      <w:r>
        <w:t>C01 Adam and the new humanity</w:t>
      </w:r>
    </w:p>
    <w:p>
      <w:pPr>
        <w:keepNext/>
      </w:pPr>
      <w:r>
        <w:rPr>
          <w:i/>
        </w:rPr>
        <w:t>Primeval narrative | Type / Foreshadowing | Explicit</w:t>
      </w:r>
    </w:p>
    <w:p>
      <w:pPr>
        <w:keepNext/>
      </w:pPr>
      <w:r>
        <w:rPr>
          <w:b/>
        </w:rPr>
        <w:t xml:space="preserve">Scripture. </w:t>
      </w:r>
      <w:r>
        <w:t>Genesis 1:26–28; 2:7; 3:1–24 → Romans 5:12–21; 1 Corinthians 15:20–22, 45–49</w:t>
      </w:r>
      <w:r>
        <w:rPr>
          <w:vertAlign w:val="superscript"/>
        </w:rPr>
        <w:footnoteReference w:id="2"/>
      </w:r>
    </w:p>
    <w:p>
      <w:pPr>
        <w:keepNext w:val="0"/>
      </w:pPr>
      <w:r>
        <w:rPr>
          <w:b/>
        </w:rPr>
        <w:t xml:space="preserve">Original context. </w:t>
      </w:r>
      <w:r>
        <w:t>Humanity is created for life with God, then disobeys and encounters death. Adam belongs to this narrative before he becomes a comparison.</w:t>
      </w:r>
    </w:p>
    <w:p>
      <w:pPr>
        <w:keepNext w:val="0"/>
      </w:pPr>
      <w:r>
        <w:rPr>
          <w:b/>
        </w:rPr>
        <w:t xml:space="preserve">Connection and explicitness. </w:t>
      </w:r>
      <w:r>
        <w:t>Paul explicitly calls Adam a type, contrasts his disobedience with Christ’s obedience, and names Christ the last Adam. Grace exceeds the trespass; the comparison includes decisive difference.</w:t>
      </w:r>
    </w:p>
    <w:p>
      <w:pPr>
        <w:keepNext w:val="0"/>
      </w:pPr>
      <w:r>
        <w:rPr>
          <w:b/>
        </w:rPr>
        <w:t xml:space="preserve">Language and text. </w:t>
      </w:r>
      <w:r>
        <w:t>Typos (τύπος), pattern or figure, receives its content from Paul’s representative contrast. It is not permission to allegorize every bodily detail.</w:t>
      </w:r>
    </w:p>
    <w:p>
      <w:pPr>
        <w:keepNext w:val="0"/>
      </w:pPr>
      <w:r>
        <w:rPr>
          <w:b/>
        </w:rPr>
        <w:t xml:space="preserve">Jewish and historical setting. </w:t>
      </w:r>
      <w:r>
        <w:t>Read this within Israel’s own narrative, worship or covenant life. No universal pre-Christian messianic consensus is asserted for this particular connection.</w:t>
      </w:r>
    </w:p>
    <w:p>
      <w:pPr>
        <w:keepNext w:val="0"/>
      </w:pPr>
      <w:r>
        <w:rPr>
          <w:b/>
        </w:rPr>
        <w:t xml:space="preserve">Assessment. </w:t>
      </w:r>
      <w:r>
        <w:t>The cited biblical argument is the primary evidence. The interpretation is bounded by the original setting and the stated counterargument, rather than by an assumed scholarly consensus.</w:t>
      </w:r>
    </w:p>
    <w:p>
      <w:pPr>
        <w:keepNext w:val="0"/>
      </w:pPr>
      <w:r>
        <w:rPr>
          <w:b/>
        </w:rPr>
        <w:t xml:space="preserve">Strongest counterargument. </w:t>
      </w:r>
      <w:r>
        <w:t>An exhaustive parallel would import Adam’s sin into Christ. The rib, sleep and garden details are not separate passion predictions in Paul.</w:t>
      </w:r>
    </w:p>
    <w:p>
      <w:pPr>
        <w:keepNext w:val="0"/>
      </w:pPr>
      <w:r>
        <w:rPr>
          <w:b/>
        </w:rPr>
        <w:t xml:space="preserve">Conclusion and placement. </w:t>
      </w:r>
      <w:r>
        <w:t>Include the representative contrast and reversal. Do not make the encounter settle every dispute about inherited sin. Public priority: anchor.</w:t>
      </w:r>
    </w:p>
    <w:p>
      <w:pPr>
        <w:pStyle w:val="Heading2"/>
      </w:pPr>
      <w:r>
        <w:t>C02 The woman s offspring and the serpent</w:t>
      </w:r>
    </w:p>
    <w:p>
      <w:pPr>
        <w:keepNext/>
      </w:pPr>
      <w:r>
        <w:rPr>
          <w:i/>
        </w:rPr>
        <w:t>Primeval narrative | Promise | Strongly Established</w:t>
      </w:r>
    </w:p>
    <w:p>
      <w:pPr>
        <w:keepNext/>
      </w:pPr>
      <w:r>
        <w:rPr>
          <w:b/>
        </w:rPr>
        <w:t xml:space="preserve">Scripture. </w:t>
      </w:r>
      <w:r>
        <w:t>Genesis 3:14–19 → Romans 16:20; Revelation 12:1–17; 20:1–10; Hebrews 2:14</w:t>
      </w:r>
      <w:r>
        <w:rPr>
          <w:vertAlign w:val="superscript"/>
        </w:rPr>
        <w:footnoteReference w:id="3"/>
      </w:r>
    </w:p>
    <w:p>
      <w:pPr>
        <w:keepNext w:val="0"/>
      </w:pPr>
      <w:r>
        <w:rPr>
          <w:b/>
        </w:rPr>
        <w:t xml:space="preserve">Original context. </w:t>
      </w:r>
      <w:r>
        <w:t>Judgment announces hostility between serpent and woman and their offspring within the account of rebellion.</w:t>
      </w:r>
    </w:p>
    <w:p>
      <w:pPr>
        <w:keepNext w:val="0"/>
      </w:pPr>
      <w:r>
        <w:rPr>
          <w:b/>
        </w:rPr>
        <w:t xml:space="preserve">Connection and explicitness. </w:t>
      </w:r>
      <w:r>
        <w:t>The Christian canon culminates in Satan’s defeat and God’s people sharing victory. Romans 16:20 is a strong echo; Revelation identifies the ancient serpent. No NT author directly quotes this verse as a prediction of the crucifixion.</w:t>
      </w:r>
    </w:p>
    <w:p>
      <w:pPr>
        <w:keepNext w:val="0"/>
      </w:pPr>
      <w:r>
        <w:rPr>
          <w:b/>
        </w:rPr>
        <w:t xml:space="preserve">Language and text. </w:t>
      </w:r>
      <w:r>
        <w:t>Zeraʿ (זֶרַע) can be collective or individual. Shuph (שׁוּף) is used for both blows. Neither the singular form nor two English verbs establishes a complete messianic forecast.</w:t>
      </w:r>
    </w:p>
    <w:p>
      <w:pPr>
        <w:keepNext w:val="0"/>
      </w:pPr>
      <w:r>
        <w:rPr>
          <w:b/>
        </w:rPr>
        <w:t xml:space="preserve">Jewish and historical setting. </w:t>
      </w:r>
      <w:r>
        <w:t>Ordinary human–serpent conflict and later canonical messianic readings must be distinguished. No universal pre-Christian interpretation is claimed.</w:t>
      </w:r>
    </w:p>
    <w:p>
      <w:pPr>
        <w:keepNext w:val="0"/>
      </w:pPr>
      <w:r>
        <w:rPr>
          <w:b/>
        </w:rPr>
        <w:t xml:space="preserve">Assessment. </w:t>
      </w:r>
      <w:r>
        <w:t>Cheek argues for individual and collective fulfillment; NET challenges an individual prediction derived from syntax. Alexander’s accessible opening acknowledges collective usage. The rating concerns the broad canonical victory connection.</w:t>
      </w:r>
      <w:r>
        <w:rPr>
          <w:vertAlign w:val="superscript"/>
        </w:rPr>
        <w:footnoteReference w:id="4"/>
      </w:r>
    </w:p>
    <w:p>
      <w:pPr>
        <w:keepNext w:val="0"/>
      </w:pPr>
      <w:r>
        <w:rPr>
          <w:b/>
        </w:rPr>
        <w:t xml:space="preserve">Strongest counterargument. </w:t>
      </w:r>
      <w:r>
        <w:t>The passage names neither Messiah nor resurrection. Human–serpent hostility is a serious immediate-context reading.</w:t>
      </w:r>
    </w:p>
    <w:p>
      <w:pPr>
        <w:keepNext w:val="0"/>
      </w:pPr>
      <w:r>
        <w:rPr>
          <w:b/>
        </w:rPr>
        <w:t xml:space="preserve">Conclusion and placement. </w:t>
      </w:r>
      <w:r>
        <w:t>Retain a qualified first horizon of victory, not a freestanding proof of virgin conception or a detailed cross prediction. Public priority: short connection.</w:t>
      </w:r>
    </w:p>
    <w:p>
      <w:pPr>
        <w:pStyle w:val="Heading2"/>
      </w:pPr>
      <w:r>
        <w:t>C03 Abel s blood and a better word</w:t>
      </w:r>
    </w:p>
    <w:p>
      <w:pPr>
        <w:keepNext/>
      </w:pPr>
      <w:r>
        <w:rPr>
          <w:i/>
        </w:rPr>
        <w:t>Primeval narrative | Canonical Pattern | Explicit</w:t>
      </w:r>
    </w:p>
    <w:p>
      <w:pPr>
        <w:keepNext/>
      </w:pPr>
      <w:r>
        <w:rPr>
          <w:b/>
        </w:rPr>
        <w:t xml:space="preserve">Scripture. </w:t>
      </w:r>
      <w:r>
        <w:t>Genesis 4:1–16 → Hebrews 11:4; 12:24; Matthew 23:35</w:t>
      </w:r>
      <w:r>
        <w:rPr>
          <w:vertAlign w:val="superscript"/>
        </w:rPr>
        <w:footnoteReference w:id="5"/>
      </w:r>
    </w:p>
    <w:p>
      <w:pPr>
        <w:keepNext w:val="0"/>
      </w:pPr>
      <w:r>
        <w:rPr>
          <w:b/>
        </w:rPr>
        <w:t xml:space="preserve">Original context. </w:t>
      </w:r>
      <w:r>
        <w:t>Abel is murdered and his blood cries from the ground; Cain is accountable.</w:t>
      </w:r>
    </w:p>
    <w:p>
      <w:pPr>
        <w:keepNext w:val="0"/>
      </w:pPr>
      <w:r>
        <w:rPr>
          <w:b/>
        </w:rPr>
        <w:t xml:space="preserve">Connection and explicitness. </w:t>
      </w:r>
      <w:r>
        <w:t>Hebrews explicitly contrasts Abel with Jesus’s sprinkled blood, which speaks a better word in a new-covenant setting.</w:t>
      </w:r>
    </w:p>
    <w:p>
      <w:pPr>
        <w:keepNext w:val="0"/>
      </w:pPr>
      <w:r>
        <w:rPr>
          <w:b/>
        </w:rPr>
        <w:t xml:space="preserve">Language and text. </w:t>
      </w:r>
      <w:r>
        <w:t>Kreitton (κρεῖττον), better, signals superiority. Whether Abel evokes blood or testimony does not remove the contrast.</w:t>
      </w:r>
    </w:p>
    <w:p>
      <w:pPr>
        <w:keepNext w:val="0"/>
      </w:pPr>
      <w:r>
        <w:rPr>
          <w:b/>
        </w:rPr>
        <w:t xml:space="preserve">Jewish and historical setting. </w:t>
      </w:r>
      <w:r>
        <w:t>Read this within Israel’s own narrative, worship or covenant life. No universal pre-Christian messianic consensus is asserted for this particular connection.</w:t>
      </w:r>
    </w:p>
    <w:p>
      <w:pPr>
        <w:keepNext w:val="0"/>
      </w:pPr>
      <w:r>
        <w:rPr>
          <w:b/>
        </w:rPr>
        <w:t xml:space="preserve">Assessment. </w:t>
      </w:r>
      <w:r>
        <w:t>The cited biblical argument is the primary evidence. The interpretation is bounded by the original setting and the stated counterargument, rather than by an assumed scholarly consensus.</w:t>
      </w:r>
    </w:p>
    <w:p>
      <w:pPr>
        <w:keepNext w:val="0"/>
      </w:pPr>
      <w:r>
        <w:rPr>
          <w:b/>
        </w:rPr>
        <w:t xml:space="preserve">Strongest counterargument. </w:t>
      </w:r>
      <w:r>
        <w:t>Abel does not voluntarily redeem the world; his death is not an atoning sacrifice.</w:t>
      </w:r>
    </w:p>
    <w:p>
      <w:pPr>
        <w:keepNext w:val="0"/>
      </w:pPr>
      <w:r>
        <w:rPr>
          <w:b/>
        </w:rPr>
        <w:t xml:space="preserve">Conclusion and placement. </w:t>
      </w:r>
      <w:r>
        <w:t>Keep as optional opening depth. Do not derive a code from his occupation or turn his entire biography into Jesus’s. Public priority: optional or research.</w:t>
      </w:r>
    </w:p>
    <w:p>
      <w:pPr>
        <w:pStyle w:val="Heading2"/>
      </w:pPr>
      <w:r>
        <w:t>C04 Noah and rescue through judgment</w:t>
      </w:r>
    </w:p>
    <w:p>
      <w:pPr>
        <w:keepNext/>
      </w:pPr>
      <w:r>
        <w:rPr>
          <w:i/>
        </w:rPr>
        <w:t>Primeval narrative | Type / Foreshadowing | Explicit</w:t>
      </w:r>
    </w:p>
    <w:p>
      <w:pPr>
        <w:keepNext/>
      </w:pPr>
      <w:r>
        <w:rPr>
          <w:b/>
        </w:rPr>
        <w:t xml:space="preserve">Scripture. </w:t>
      </w:r>
      <w:r>
        <w:t>Genesis 6:5–9:17 → 1 Peter 3:18–22; Matthew 24:37–39</w:t>
      </w:r>
      <w:r>
        <w:rPr>
          <w:vertAlign w:val="superscript"/>
        </w:rPr>
        <w:footnoteReference w:id="6"/>
      </w:r>
    </w:p>
    <w:p>
      <w:pPr>
        <w:keepNext w:val="0"/>
      </w:pPr>
      <w:r>
        <w:rPr>
          <w:b/>
        </w:rPr>
        <w:t xml:space="preserve">Original context. </w:t>
      </w:r>
      <w:r>
        <w:t>God judges a violent world, preserves Noah’s household through the flood and establishes a covenant.</w:t>
      </w:r>
    </w:p>
    <w:p>
      <w:pPr>
        <w:keepNext w:val="0"/>
      </w:pPr>
      <w:r>
        <w:rPr>
          <w:b/>
        </w:rPr>
        <w:t xml:space="preserve">Connection and explicitness. </w:t>
      </w:r>
      <w:r>
        <w:t>Peter explicitly connects the flood rescue with baptism and grounds salvation in Christ’s resurrection. The direct counterpart is baptism, not an assertion that the ark is Jesus.</w:t>
      </w:r>
    </w:p>
    <w:p>
      <w:pPr>
        <w:keepNext w:val="0"/>
      </w:pPr>
      <w:r>
        <w:rPr>
          <w:b/>
        </w:rPr>
        <w:t xml:space="preserve">Language and text. </w:t>
      </w:r>
      <w:r>
        <w:t>Antitypon (ἀντίτυπον) identifies a corresponding counterpart. Peter’s qualification about bodily dirt and his resurrection clause control the reading.</w:t>
      </w:r>
    </w:p>
    <w:p>
      <w:pPr>
        <w:keepNext w:val="0"/>
      </w:pPr>
      <w:r>
        <w:rPr>
          <w:b/>
        </w:rPr>
        <w:t xml:space="preserve">Jewish and historical setting. </w:t>
      </w:r>
      <w:r>
        <w:t>Read this within Israel’s own narrative, worship or covenant life. No universal pre-Christian messianic consensus is asserted for this particular connection.</w:t>
      </w:r>
    </w:p>
    <w:p>
      <w:pPr>
        <w:keepNext w:val="0"/>
      </w:pPr>
      <w:r>
        <w:rPr>
          <w:b/>
        </w:rPr>
        <w:t xml:space="preserve">Assessment. </w:t>
      </w:r>
      <w:r>
        <w:t>The cited biblical argument is the primary evidence. The interpretation is bounded by the original setting and the stated counterargument, rather than by an assumed scholarly consensus.</w:t>
      </w:r>
    </w:p>
    <w:p>
      <w:pPr>
        <w:keepNext w:val="0"/>
      </w:pPr>
      <w:r>
        <w:rPr>
          <w:b/>
        </w:rPr>
        <w:t xml:space="preserve">Strongest counterargument. </w:t>
      </w:r>
      <w:r>
        <w:t>Calling every feature of the ark a direct type of Christ obscures the actual correspondence and debated baptism language.</w:t>
      </w:r>
    </w:p>
    <w:p>
      <w:pPr>
        <w:keepNext w:val="0"/>
      </w:pPr>
      <w:r>
        <w:rPr>
          <w:b/>
        </w:rPr>
        <w:t xml:space="preserve">Conclusion and placement. </w:t>
      </w:r>
      <w:r>
        <w:t>Retain as optional rescue background. Refer readers to the approved Baptism treatment without reopening its conclusions. Public priority: optional or research.</w:t>
      </w:r>
    </w:p>
    <w:p>
      <w:pPr>
        <w:pStyle w:val="Heading2"/>
      </w:pPr>
      <w:r>
        <w:t>C05 Abraham and blessing for the nations</w:t>
      </w:r>
    </w:p>
    <w:p>
      <w:pPr>
        <w:keepNext/>
      </w:pPr>
      <w:r>
        <w:rPr>
          <w:i/>
        </w:rPr>
        <w:t>Patriarchs | Promise | Explicit</w:t>
      </w:r>
    </w:p>
    <w:p>
      <w:pPr>
        <w:keepNext/>
      </w:pPr>
      <w:r>
        <w:rPr>
          <w:b/>
        </w:rPr>
        <w:t xml:space="preserve">Scripture. </w:t>
      </w:r>
      <w:r>
        <w:t>Genesis 12:1–7; 15:1–6; 17:1–8; 22:15–18 → Galatians 3:6–9, 14–18, 26–29; Acts 3:25–26</w:t>
      </w:r>
      <w:r>
        <w:rPr>
          <w:vertAlign w:val="superscript"/>
        </w:rPr>
        <w:footnoteReference w:id="7"/>
      </w:r>
    </w:p>
    <w:p>
      <w:pPr>
        <w:keepNext w:val="0"/>
      </w:pPr>
      <w:r>
        <w:rPr>
          <w:b/>
        </w:rPr>
        <w:t xml:space="preserve">Original context. </w:t>
      </w:r>
      <w:r>
        <w:t>God calls Abraham and promises descendants, land and blessing reaching the families of the earth.</w:t>
      </w:r>
    </w:p>
    <w:p>
      <w:pPr>
        <w:keepNext w:val="0"/>
      </w:pPr>
      <w:r>
        <w:rPr>
          <w:b/>
        </w:rPr>
        <w:t xml:space="preserve">Connection and explicitness. </w:t>
      </w:r>
      <w:r>
        <w:t>Paul explicitly locates the blessing in Christ and includes those belonging to Christ among Abraham’s offspring. Acts also applies the blessing in relation to Jesus.</w:t>
      </w:r>
    </w:p>
    <w:p>
      <w:pPr>
        <w:keepNext w:val="0"/>
      </w:pPr>
      <w:r>
        <w:rPr>
          <w:b/>
        </w:rPr>
        <w:t xml:space="preserve">Language and text. </w:t>
      </w:r>
      <w:r>
        <w:t>Zeraʿ and sperma (σπέρμα) can denote many descendants. Galatians 3:29 itself uses the singular noun collectively. Paul’s Christ argument is not a rule that the word always denotes one individual.</w:t>
      </w:r>
    </w:p>
    <w:p>
      <w:pPr>
        <w:keepNext w:val="0"/>
      </w:pPr>
      <w:r>
        <w:rPr>
          <w:b/>
        </w:rPr>
        <w:t xml:space="preserve">Jewish and historical setting. </w:t>
      </w:r>
      <w:r>
        <w:t>The promises retain their Jewish and Israelite meaning. The Christ application should be demonstrated, not presented as evidence that Jewish readers misunderstand their own Scriptures.</w:t>
      </w:r>
    </w:p>
    <w:p>
      <w:pPr>
        <w:keepNext w:val="0"/>
      </w:pPr>
      <w:r>
        <w:rPr>
          <w:b/>
        </w:rPr>
        <w:t xml:space="preserve">Assessment. </w:t>
      </w:r>
      <w:r>
        <w:t>The NET note documents Paul’s wording; the surrounding chapter supplies the representative logic. Alexander is used only within the accessible excerpt’s scope.</w:t>
      </w:r>
      <w:r>
        <w:rPr>
          <w:vertAlign w:val="superscript"/>
        </w:rPr>
        <w:footnoteReference w:id="8"/>
      </w:r>
    </w:p>
    <w:p>
      <w:pPr>
        <w:keepNext w:val="0"/>
      </w:pPr>
      <w:r>
        <w:rPr>
          <w:b/>
        </w:rPr>
        <w:t xml:space="preserve">Strongest counterargument. </w:t>
      </w:r>
      <w:r>
        <w:t>A grammar-only proof contradicts Genesis’s numerous descendants and Paul’s own collective use.</w:t>
      </w:r>
    </w:p>
    <w:p>
      <w:pPr>
        <w:keepNext w:val="0"/>
      </w:pPr>
      <w:r>
        <w:rPr>
          <w:b/>
        </w:rPr>
        <w:t xml:space="preserve">Conclusion and placement. </w:t>
      </w:r>
      <w:r>
        <w:t>Make this the main promise thread. Preserve the Israelite setting without deciding every covenant-system or land question. Public priority: anchor.</w:t>
      </w:r>
    </w:p>
    <w:p>
      <w:pPr>
        <w:pStyle w:val="Heading2"/>
      </w:pPr>
      <w:r>
        <w:t>C06 Melchizedek the priest and king</w:t>
      </w:r>
    </w:p>
    <w:p>
      <w:pPr>
        <w:keepNext/>
      </w:pPr>
      <w:r>
        <w:rPr>
          <w:i/>
        </w:rPr>
        <w:t>Patriarchs | Type / Foreshadowing | Explicit</w:t>
      </w:r>
    </w:p>
    <w:p>
      <w:pPr>
        <w:keepNext/>
      </w:pPr>
      <w:r>
        <w:rPr>
          <w:b/>
        </w:rPr>
        <w:t xml:space="preserve">Scripture. </w:t>
      </w:r>
      <w:r>
        <w:t>Genesis 14:17–20; Psalm 110:4 as later bridge → Hebrews 5:5–10; 7:1–28</w:t>
      </w:r>
      <w:r>
        <w:rPr>
          <w:vertAlign w:val="superscript"/>
        </w:rPr>
        <w:footnoteReference w:id="9"/>
      </w:r>
    </w:p>
    <w:p>
      <w:pPr>
        <w:keepNext w:val="0"/>
      </w:pPr>
      <w:r>
        <w:rPr>
          <w:b/>
        </w:rPr>
        <w:t xml:space="preserve">Original context. </w:t>
      </w:r>
      <w:r>
        <w:t>A king of Salem and priest of God Most High blesses Abram and receives a tenth after his victory.</w:t>
      </w:r>
    </w:p>
    <w:p>
      <w:pPr>
        <w:keepNext w:val="0"/>
      </w:pPr>
      <w:r>
        <w:rPr>
          <w:b/>
        </w:rPr>
        <w:t xml:space="preserve">Connection and explicitness. </w:t>
      </w:r>
      <w:r>
        <w:t>Hebrews explicitly develops royal priesthood and the scriptural presentation of Melchizedek as a likeness to the Son, distinct from Levitical descent.</w:t>
      </w:r>
    </w:p>
    <w:p>
      <w:pPr>
        <w:keepNext w:val="0"/>
      </w:pPr>
      <w:r>
        <w:rPr>
          <w:b/>
        </w:rPr>
        <w:t xml:space="preserve">Language and text. </w:t>
      </w:r>
      <w:r>
        <w:t>Aphōmoiōmenos (ἀφωμοιωμένος), made like, supports comparison. Missing genealogy is not proof that a human figure literally lacked parents.</w:t>
      </w:r>
    </w:p>
    <w:p>
      <w:pPr>
        <w:keepNext w:val="0"/>
      </w:pPr>
      <w:r>
        <w:rPr>
          <w:b/>
        </w:rPr>
        <w:t xml:space="preserve">Jewish and historical setting. </w:t>
      </w:r>
      <w:r>
        <w:t>11Q13 supplies a distinct Jewish eschatological Melchizedek interpretation involving jubilee and judgment. It does not identify Jesus or establish dependence by Hebrews.</w:t>
      </w:r>
    </w:p>
    <w:p>
      <w:pPr>
        <w:keepNext w:val="0"/>
      </w:pPr>
      <w:r>
        <w:rPr>
          <w:b/>
        </w:rPr>
        <w:t xml:space="preserve">Assessment. </w:t>
      </w:r>
      <w:r>
        <w:t>Hebrews is controlling. The published Hebrew and English 11Q13 extract supplies reception history, with its reconstructed gaps respected.</w:t>
      </w:r>
      <w:r>
        <w:rPr>
          <w:vertAlign w:val="superscript"/>
        </w:rPr>
        <w:footnoteReference w:id="10"/>
      </w:r>
    </w:p>
    <w:p>
      <w:pPr>
        <w:keepNext w:val="0"/>
      </w:pPr>
      <w:r>
        <w:rPr>
          <w:b/>
        </w:rPr>
        <w:t xml:space="preserve">Strongest counterargument. </w:t>
      </w:r>
      <w:r>
        <w:t>Identity with the pre-incarnate Jesus is a further debated claim. Hebrews does not make Genesis’s bread and wine its eucharistic argument.</w:t>
      </w:r>
    </w:p>
    <w:p>
      <w:pPr>
        <w:keepNext w:val="0"/>
      </w:pPr>
      <w:r>
        <w:rPr>
          <w:b/>
        </w:rPr>
        <w:t xml:space="preserve">Conclusion and placement. </w:t>
      </w:r>
      <w:r>
        <w:t>Include priesthood and permanence; do not assert identity with Jesus. Psalm 110 is a later oracle, with cross-reference rather than duplicated biography. Public priority: anchor.</w:t>
      </w:r>
    </w:p>
    <w:p>
      <w:pPr>
        <w:pStyle w:val="Heading2"/>
      </w:pPr>
      <w:r>
        <w:t>C07 Isaac the beloved son and God s provision</w:t>
      </w:r>
    </w:p>
    <w:p>
      <w:pPr>
        <w:keepNext/>
      </w:pPr>
      <w:r>
        <w:rPr>
          <w:i/>
        </w:rPr>
        <w:t>Patriarchs | Type / Foreshadowing | Strongly Established</w:t>
      </w:r>
    </w:p>
    <w:p>
      <w:pPr>
        <w:keepNext/>
      </w:pPr>
      <w:r>
        <w:rPr>
          <w:b/>
        </w:rPr>
        <w:t xml:space="preserve">Scripture. </w:t>
      </w:r>
      <w:r>
        <w:t>Genesis 22:1–19 → Hebrews 11:17–19; Romans 8:32; James 2:21–23</w:t>
      </w:r>
      <w:r>
        <w:rPr>
          <w:vertAlign w:val="superscript"/>
        </w:rPr>
        <w:footnoteReference w:id="11"/>
      </w:r>
    </w:p>
    <w:p>
      <w:pPr>
        <w:keepNext w:val="0"/>
      </w:pPr>
      <w:r>
        <w:rPr>
          <w:b/>
        </w:rPr>
        <w:t xml:space="preserve">Original context. </w:t>
      </w:r>
      <w:r>
        <w:t>The narrator identifies a test of Abraham. The promised son is bound; the killing is stopped and a ram is offered in his place.</w:t>
      </w:r>
    </w:p>
    <w:p>
      <w:pPr>
        <w:keepNext w:val="0"/>
      </w:pPr>
      <w:r>
        <w:rPr>
          <w:b/>
        </w:rPr>
        <w:t xml:space="preserve">Connection and explicitness. </w:t>
      </w:r>
      <w:r>
        <w:t>Hebrews explicitly interprets Abraham’s resurrection confidence and figurative recovery of Isaac. Romans 8:32 strongly recalls not withholding the son, with the decisive difference that Jesus actually dies. A complete Isaac–Jesus typology is not explicitly stated.</w:t>
      </w:r>
    </w:p>
    <w:p>
      <w:pPr>
        <w:keepNext w:val="0"/>
      </w:pPr>
      <w:r>
        <w:rPr>
          <w:b/>
        </w:rPr>
        <w:t xml:space="preserve">Language and text. </w:t>
      </w:r>
      <w:r>
        <w:t>En parabolē (ἐν παραβολῇ) means figuratively or in a figure here. It does not validate every later parallel. The ram is an ayil, not a hidden lexical name for Jesus.</w:t>
      </w:r>
    </w:p>
    <w:p>
      <w:pPr>
        <w:keepNext w:val="0"/>
      </w:pPr>
      <w:r>
        <w:rPr>
          <w:b/>
        </w:rPr>
        <w:t xml:space="preserve">Jewish and historical setting. </w:t>
      </w:r>
      <w:r>
        <w:t>Jewish Aqedah traditions vary. Later claims about Isaac’s age, willingness or death must not be inserted into Genesis as reported facts.</w:t>
      </w:r>
    </w:p>
    <w:p>
      <w:pPr>
        <w:keepNext w:val="0"/>
      </w:pPr>
      <w:r>
        <w:rPr>
          <w:b/>
        </w:rPr>
        <w:t xml:space="preserve">Assessment. </w:t>
      </w:r>
      <w:r>
        <w:t>Kuruvilla prioritizes tested faith and challenges typological overreach. The NT links permit a narrower comparison than the popular scene-by-scene version; the objection must remain visible.</w:t>
      </w:r>
      <w:r>
        <w:rPr>
          <w:vertAlign w:val="superscript"/>
        </w:rPr>
        <w:footnoteReference w:id="12"/>
      </w:r>
    </w:p>
    <w:p>
      <w:pPr>
        <w:keepNext w:val="0"/>
      </w:pPr>
      <w:r>
        <w:rPr>
          <w:b/>
        </w:rPr>
        <w:t xml:space="preserve">Strongest counterargument. </w:t>
      </w:r>
      <w:r>
        <w:t>Hebrews primarily commends Abraham’s faith; James emphasizes obedience. Isaac survives, and Genesis supplies neither his supposed age of 33 nor exact Golgotha geography.</w:t>
      </w:r>
    </w:p>
    <w:p>
      <w:pPr>
        <w:keepNext w:val="0"/>
      </w:pPr>
      <w:r>
        <w:rPr>
          <w:b/>
        </w:rPr>
        <w:t xml:space="preserve">Conclusion and placement. </w:t>
      </w:r>
      <w:r>
        <w:t>Retain beloved son, provision and figurative recovery with clear limits. Exclude the crown-of-thorns thicket and precise age/location claims. Public priority: anchor.</w:t>
      </w:r>
    </w:p>
    <w:p>
      <w:pPr>
        <w:pStyle w:val="Heading2"/>
      </w:pPr>
      <w:r>
        <w:t>C08 Jacob and heaven opened</w:t>
      </w:r>
    </w:p>
    <w:p>
      <w:pPr>
        <w:keepNext/>
      </w:pPr>
      <w:r>
        <w:rPr>
          <w:i/>
        </w:rPr>
        <w:t>Patriarchs | Type / Foreshadowing | Explicit</w:t>
      </w:r>
    </w:p>
    <w:p>
      <w:pPr>
        <w:keepNext/>
      </w:pPr>
      <w:r>
        <w:rPr>
          <w:b/>
        </w:rPr>
        <w:t xml:space="preserve">Scripture. </w:t>
      </w:r>
      <w:r>
        <w:t>Genesis 28:10–22 → John 1:47–51</w:t>
      </w:r>
      <w:r>
        <w:rPr>
          <w:vertAlign w:val="superscript"/>
        </w:rPr>
        <w:footnoteReference w:id="13"/>
      </w:r>
    </w:p>
    <w:p>
      <w:pPr>
        <w:keepNext w:val="0"/>
      </w:pPr>
      <w:r>
        <w:rPr>
          <w:b/>
        </w:rPr>
        <w:t xml:space="preserve">Original context. </w:t>
      </w:r>
      <w:r>
        <w:t>A vulnerable Jacob receives a vision of heaven opened, divine presence and renewed patriarchal promise.</w:t>
      </w:r>
    </w:p>
    <w:p>
      <w:pPr>
        <w:keepNext w:val="0"/>
      </w:pPr>
      <w:r>
        <w:rPr>
          <w:b/>
        </w:rPr>
        <w:t xml:space="preserve">Connection and explicitness. </w:t>
      </w:r>
      <w:r>
        <w:t>Jesus unmistakably reuses the ascending-and-descending angels scene, locating it upon the Son of Man. The allusion is explicit in substance, although it is not a formal fulfillment quotation.</w:t>
      </w:r>
    </w:p>
    <w:p>
      <w:pPr>
        <w:keepNext w:val="0"/>
      </w:pPr>
      <w:r>
        <w:rPr>
          <w:b/>
        </w:rPr>
        <w:t xml:space="preserve">Language and text. </w:t>
      </w:r>
      <w:r>
        <w:t>Sullam (סֻלָּם), stairway or ladder, does not specify a modern ladder design. The shared angel movement and its changed focus establish the connection.</w:t>
      </w:r>
    </w:p>
    <w:p>
      <w:pPr>
        <w:keepNext w:val="0"/>
      </w:pPr>
      <w:r>
        <w:rPr>
          <w:b/>
        </w:rPr>
        <w:t xml:space="preserve">Jewish and historical setting. </w:t>
      </w:r>
      <w:r>
        <w:t>Read this within Israel’s own narrative, worship or covenant life. No universal pre-Christian messianic consensus is asserted for this particular connection.</w:t>
      </w:r>
    </w:p>
    <w:p>
      <w:pPr>
        <w:keepNext w:val="0"/>
      </w:pPr>
      <w:r>
        <w:rPr>
          <w:b/>
        </w:rPr>
        <w:t xml:space="preserve">Assessment. </w:t>
      </w:r>
      <w:r>
        <w:t>The cited biblical argument is the primary evidence. The interpretation is bounded by the original setting and the stated counterargument, rather than by an assumed scholarly consensus.</w:t>
      </w:r>
    </w:p>
    <w:p>
      <w:pPr>
        <w:keepNext w:val="0"/>
      </w:pPr>
      <w:r>
        <w:rPr>
          <w:b/>
        </w:rPr>
        <w:t xml:space="preserve">Strongest counterargument. </w:t>
      </w:r>
      <w:r>
        <w:t>John does not say that every stone or architectural detail depicts Christ. A literal picture of Jesus as a ladder would flatten the imagery.</w:t>
      </w:r>
    </w:p>
    <w:p>
      <w:pPr>
        <w:keepNext w:val="0"/>
      </w:pPr>
      <w:r>
        <w:rPr>
          <w:b/>
        </w:rPr>
        <w:t xml:space="preserve">Conclusion and placement. </w:t>
      </w:r>
      <w:r>
        <w:t>Include access and divine presence centred on Christ. Preserve the original promise to Jacob. Public priority: short connection.</w:t>
      </w:r>
    </w:p>
    <w:p>
      <w:pPr>
        <w:pStyle w:val="Heading2"/>
      </w:pPr>
      <w:r>
        <w:t>C09 Joseph the rejected brother who preserves life</w:t>
      </w:r>
    </w:p>
    <w:p>
      <w:pPr>
        <w:keepNext/>
      </w:pPr>
      <w:r>
        <w:rPr>
          <w:i/>
        </w:rPr>
        <w:t>Patriarchs | Canonical Pattern | Strongly Established</w:t>
      </w:r>
    </w:p>
    <w:p>
      <w:pPr>
        <w:keepNext/>
      </w:pPr>
      <w:r>
        <w:rPr>
          <w:b/>
        </w:rPr>
        <w:t xml:space="preserve">Scripture. </w:t>
      </w:r>
      <w:r>
        <w:t>Genesis 37; 39–50 → Acts 7:9–16, 35, 51–52</w:t>
      </w:r>
      <w:r>
        <w:rPr>
          <w:vertAlign w:val="superscript"/>
        </w:rPr>
        <w:footnoteReference w:id="14"/>
      </w:r>
    </w:p>
    <w:p>
      <w:pPr>
        <w:keepNext w:val="0"/>
      </w:pPr>
      <w:r>
        <w:rPr>
          <w:b/>
        </w:rPr>
        <w:t xml:space="preserve">Original context. </w:t>
      </w:r>
      <w:r>
        <w:t>Joseph’s brothers reject him, but God works through enslavement, suffering and advancement to preserve his family and many others.</w:t>
      </w:r>
    </w:p>
    <w:p>
      <w:pPr>
        <w:keepNext w:val="0"/>
      </w:pPr>
      <w:r>
        <w:rPr>
          <w:b/>
        </w:rPr>
        <w:t xml:space="preserve">Connection and explicitness. </w:t>
      </w:r>
      <w:r>
        <w:t>Stephen recounts rejection and God’s vindication within a speech culminating in the rejection of the Righteous One. This supports a recurring rejected-deliverer pattern; he does not explicitly call Joseph a type of Christ.</w:t>
      </w:r>
    </w:p>
    <w:p>
      <w:pPr>
        <w:keepNext w:val="0"/>
      </w:pPr>
      <w:r>
        <w:rPr>
          <w:b/>
        </w:rPr>
        <w:t xml:space="preserve">Language and text. </w:t>
      </w:r>
      <w:r>
        <w:t>No unusual Greek or Hebrew word establishes the connection. Its force is narrative structure and Stephen’s cumulative argument, not lexical resemblance.</w:t>
      </w:r>
    </w:p>
    <w:p>
      <w:pPr>
        <w:keepNext w:val="0"/>
      </w:pPr>
      <w:r>
        <w:rPr>
          <w:b/>
        </w:rPr>
        <w:t xml:space="preserve">Jewish and historical setting. </w:t>
      </w:r>
      <w:r>
        <w:t>Genesis’s family, providence and reconciliation concerns remain central. No prior Jewish expectation of a Joseph-shaped Messiah is needed for the bounded claim.</w:t>
      </w:r>
    </w:p>
    <w:p>
      <w:pPr>
        <w:keepNext w:val="0"/>
      </w:pPr>
      <w:r>
        <w:rPr>
          <w:b/>
        </w:rPr>
        <w:t xml:space="preserve">Assessment. </w:t>
      </w:r>
      <w:r>
        <w:t>Stiekes defends typology; Casillas distinguishes a providential pattern from a narrowly predictive type. The latter distinction is the reason for the Canonical Pattern classification.</w:t>
      </w:r>
      <w:r>
        <w:rPr>
          <w:vertAlign w:val="superscript"/>
        </w:rPr>
        <w:footnoteReference w:id="15"/>
      </w:r>
    </w:p>
    <w:p>
      <w:pPr>
        <w:keepNext w:val="0"/>
      </w:pPr>
      <w:r>
        <w:rPr>
          <w:b/>
        </w:rPr>
        <w:t xml:space="preserve">Strongest counterargument. </w:t>
      </w:r>
      <w:r>
        <w:t>Many parallels are generic, and Joseph neither dies nor rises bodily. A long list can conceal these important differences.</w:t>
      </w:r>
    </w:p>
    <w:p>
      <w:pPr>
        <w:keepNext w:val="0"/>
      </w:pPr>
      <w:r>
        <w:rPr>
          <w:b/>
        </w:rPr>
        <w:t xml:space="preserve">Conclusion and placement. </w:t>
      </w:r>
      <w:r>
        <w:t>Retain as a strongly established canonical pattern, especially preservation and reconciliation. Exclude prison-as-hell and cupbearer/baker-as-two-thieves equations. Public priority: short connection.</w:t>
      </w:r>
    </w:p>
    <w:p>
      <w:pPr>
        <w:pStyle w:val="Heading2"/>
      </w:pPr>
      <w:r>
        <w:t>C10 Judah and the royal promise</w:t>
      </w:r>
    </w:p>
    <w:p>
      <w:pPr>
        <w:keepNext/>
      </w:pPr>
      <w:r>
        <w:rPr>
          <w:i/>
        </w:rPr>
        <w:t>Patriarchs | Promise | Strongly Established</w:t>
      </w:r>
    </w:p>
    <w:p>
      <w:pPr>
        <w:keepNext/>
      </w:pPr>
      <w:r>
        <w:rPr>
          <w:b/>
        </w:rPr>
        <w:t xml:space="preserve">Scripture. </w:t>
      </w:r>
      <w:r>
        <w:t>Genesis 49:8–12 → Hebrews 7:14; Revelation 5:5</w:t>
      </w:r>
      <w:r>
        <w:rPr>
          <w:vertAlign w:val="superscript"/>
        </w:rPr>
        <w:footnoteReference w:id="16"/>
      </w:r>
    </w:p>
    <w:p>
      <w:pPr>
        <w:keepNext w:val="0"/>
      </w:pPr>
      <w:r>
        <w:rPr>
          <w:b/>
        </w:rPr>
        <w:t xml:space="preserve">Original context. </w:t>
      </w:r>
      <w:r>
        <w:t>Jacob’s blessing associates Judah with leadership, a sceptre and the obedience of peoples.</w:t>
      </w:r>
    </w:p>
    <w:p>
      <w:pPr>
        <w:keepNext w:val="0"/>
      </w:pPr>
      <w:r>
        <w:rPr>
          <w:b/>
        </w:rPr>
        <w:t xml:space="preserve">Connection and explicitness. </w:t>
      </w:r>
      <w:r>
        <w:t>The NT identifies Jesus with Judah and the lion of that tribe. This strongly supports a royal promise connection, but does not quote the difficult clause of Genesis 49:10 as a settled translation.</w:t>
      </w:r>
    </w:p>
    <w:p>
      <w:pPr>
        <w:keepNext w:val="0"/>
      </w:pPr>
      <w:r>
        <w:rPr>
          <w:b/>
        </w:rPr>
        <w:t xml:space="preserve">Language and text. </w:t>
      </w:r>
      <w:r>
        <w:t>Shiloh and related readings are disputed. The alternatives must not be reduced to one supposedly unavoidable dictionary meaning.</w:t>
      </w:r>
    </w:p>
    <w:p>
      <w:pPr>
        <w:keepNext w:val="0"/>
      </w:pPr>
      <w:r>
        <w:rPr>
          <w:b/>
        </w:rPr>
        <w:t xml:space="preserve">Jewish and historical setting. </w:t>
      </w:r>
      <w:r>
        <w:t>The blessing concerns Israel’s tribes and leadership. Later messianic reception does not erase that setting.</w:t>
      </w:r>
    </w:p>
    <w:p>
      <w:pPr>
        <w:keepNext w:val="0"/>
      </w:pPr>
      <w:r>
        <w:rPr>
          <w:b/>
        </w:rPr>
        <w:t xml:space="preserve">Assessment. </w:t>
      </w:r>
      <w:r>
        <w:t>NET records competing readings. Judah’s broader royal significance is firmer than a detailed argument from the uncertain expression.</w:t>
      </w:r>
      <w:r>
        <w:rPr>
          <w:vertAlign w:val="superscript"/>
        </w:rPr>
        <w:footnoteReference w:id="17"/>
      </w:r>
    </w:p>
    <w:p>
      <w:pPr>
        <w:keepNext w:val="0"/>
      </w:pPr>
      <w:r>
        <w:rPr>
          <w:b/>
        </w:rPr>
        <w:t xml:space="preserve">Strongest counterargument. </w:t>
      </w:r>
      <w:r>
        <w:t>Textual and syntactic uncertainty makes an exact prediction based on one English rendering precarious.</w:t>
      </w:r>
    </w:p>
    <w:p>
      <w:pPr>
        <w:keepNext w:val="0"/>
      </w:pPr>
      <w:r>
        <w:rPr>
          <w:b/>
        </w:rPr>
        <w:t xml:space="preserve">Conclusion and placement. </w:t>
      </w:r>
      <w:r>
        <w:t>Use as a brief forward link toward Davidic kingship. Do not make the disputed phrase a major proof. Public priority: optional or research.</w:t>
      </w:r>
    </w:p>
    <w:p>
      <w:pPr>
        <w:pStyle w:val="Heading2"/>
      </w:pPr>
      <w:r>
        <w:t>C11 Passover and the sacrificed lamb</w:t>
      </w:r>
    </w:p>
    <w:p>
      <w:pPr>
        <w:keepNext/>
      </w:pPr>
      <w:r>
        <w:rPr>
          <w:i/>
        </w:rPr>
        <w:t>Exodus and wilderness | Type / Foreshadowing | Explicit</w:t>
      </w:r>
    </w:p>
    <w:p>
      <w:pPr>
        <w:keepNext/>
      </w:pPr>
      <w:r>
        <w:rPr>
          <w:b/>
        </w:rPr>
        <w:t xml:space="preserve">Scripture. </w:t>
      </w:r>
      <w:r>
        <w:t>Exodus 12:1–28, 43–49 → 1 Corinthians 5:7–8; John 19:36</w:t>
      </w:r>
      <w:r>
        <w:rPr>
          <w:vertAlign w:val="superscript"/>
        </w:rPr>
        <w:footnoteReference w:id="18"/>
      </w:r>
    </w:p>
    <w:p>
      <w:pPr>
        <w:keepNext w:val="0"/>
      </w:pPr>
      <w:r>
        <w:rPr>
          <w:b/>
        </w:rPr>
        <w:t xml:space="preserve">Original context. </w:t>
      </w:r>
      <w:r>
        <w:t>Israel marks its houses and shares a commanded meal in the setting of judgment and deliverance from Egypt.</w:t>
      </w:r>
    </w:p>
    <w:p>
      <w:pPr>
        <w:keepNext w:val="0"/>
      </w:pPr>
      <w:r>
        <w:rPr>
          <w:b/>
        </w:rPr>
        <w:t xml:space="preserve">Connection and explicitness. </w:t>
      </w:r>
      <w:r>
        <w:t>Paul explicitly identifies Christ as the sacrificed Passover. John’s unbroken-bones citation also resonates with Passover legislation, alongside the righteous-sufferer background.</w:t>
      </w:r>
    </w:p>
    <w:p>
      <w:pPr>
        <w:keepNext w:val="0"/>
      </w:pPr>
      <w:r>
        <w:rPr>
          <w:b/>
        </w:rPr>
        <w:t xml:space="preserve">Language and text. </w:t>
      </w:r>
      <w:r>
        <w:t>Pesach (פֶּסַח), Passover, names the institution. Its meaning does not derive from a supposed cross shape drawn on the doorway.</w:t>
      </w:r>
    </w:p>
    <w:p>
      <w:pPr>
        <w:keepNext w:val="0"/>
      </w:pPr>
      <w:r>
        <w:rPr>
          <w:b/>
        </w:rPr>
        <w:t xml:space="preserve">Jewish and historical setting. </w:t>
      </w:r>
      <w:r>
        <w:t>Read this within Israel’s own narrative, worship or covenant life. No universal pre-Christian messianic consensus is asserted for this particular connection.</w:t>
      </w:r>
    </w:p>
    <w:p>
      <w:pPr>
        <w:keepNext w:val="0"/>
      </w:pPr>
      <w:r>
        <w:rPr>
          <w:b/>
        </w:rPr>
        <w:t xml:space="preserve">Assessment. </w:t>
      </w:r>
      <w:r>
        <w:t>The cited biblical argument is the primary evidence. The interpretation is bounded by the original setting and the stated counterargument, rather than by an assumed scholarly consensus.</w:t>
      </w:r>
    </w:p>
    <w:p>
      <w:pPr>
        <w:keepNext w:val="0"/>
      </w:pPr>
      <w:r>
        <w:rPr>
          <w:b/>
        </w:rPr>
        <w:t xml:space="preserve">Strongest counterargument. </w:t>
      </w:r>
      <w:r>
        <w:t>Not every Passover detail is assigned a separate christological meaning; John’s precise scriptural background should not be oversimplified.</w:t>
      </w:r>
    </w:p>
    <w:p>
      <w:pPr>
        <w:keepNext w:val="0"/>
      </w:pPr>
      <w:r>
        <w:rPr>
          <w:b/>
        </w:rPr>
        <w:t xml:space="preserve">Conclusion and placement. </w:t>
      </w:r>
      <w:r>
        <w:t>Include deliverance and the sacrificial identification. Paul’s call to a changed communal life should accompany the image of rescue. Public priority: anchor.</w:t>
      </w:r>
    </w:p>
    <w:p>
      <w:pPr>
        <w:pStyle w:val="Heading2"/>
      </w:pPr>
      <w:r>
        <w:t>C12 Exodus and the faithful Son</w:t>
      </w:r>
    </w:p>
    <w:p>
      <w:pPr>
        <w:keepNext/>
      </w:pPr>
      <w:r>
        <w:rPr>
          <w:i/>
        </w:rPr>
        <w:t>Exodus and wilderness | Canonical Pattern | Explicit</w:t>
      </w:r>
    </w:p>
    <w:p>
      <w:pPr>
        <w:keepNext/>
      </w:pPr>
      <w:r>
        <w:rPr>
          <w:b/>
        </w:rPr>
        <w:t xml:space="preserve">Scripture. </w:t>
      </w:r>
      <w:r>
        <w:t>Exodus 4:22–23; 12–15; Hosea 11:1–11 → Matthew 2:13–15; Luke 9:30–31</w:t>
      </w:r>
      <w:r>
        <w:rPr>
          <w:vertAlign w:val="superscript"/>
        </w:rPr>
        <w:footnoteReference w:id="19"/>
      </w:r>
    </w:p>
    <w:p>
      <w:pPr>
        <w:keepNext w:val="0"/>
      </w:pPr>
      <w:r>
        <w:rPr>
          <w:b/>
        </w:rPr>
        <w:t xml:space="preserve">Original context. </w:t>
      </w:r>
      <w:r>
        <w:t>God brings Israel, his son, out of Egypt. Hosea recalls that historical rescue amid Israel’s unfaithfulness and later speaks of restoration.</w:t>
      </w:r>
    </w:p>
    <w:p>
      <w:pPr>
        <w:keepNext w:val="0"/>
      </w:pPr>
      <w:r>
        <w:rPr>
          <w:b/>
        </w:rPr>
        <w:t xml:space="preserve">Connection and explicitness. </w:t>
      </w:r>
      <w:r>
        <w:t>Matthew explicitly applies Hosea’s son language to Jesus’s return from Egypt. Luke describes the departure Jesus will accomplish at Jerusalem using exodos. The narrative places Christ within Israel’s rescue story.</w:t>
      </w:r>
    </w:p>
    <w:p>
      <w:pPr>
        <w:keepNext w:val="0"/>
      </w:pPr>
      <w:r>
        <w:rPr>
          <w:b/>
        </w:rPr>
        <w:t xml:space="preserve">Language and text. </w:t>
      </w:r>
      <w:r>
        <w:t>Matthew’s son wording agrees with the Hebrew against the Greek children form discussed by Kim. Fulfillment here is not merely a future-tense prediction finally occurring.</w:t>
      </w:r>
    </w:p>
    <w:p>
      <w:pPr>
        <w:keepNext w:val="0"/>
      </w:pPr>
      <w:r>
        <w:rPr>
          <w:b/>
        </w:rPr>
        <w:t xml:space="preserve">Jewish and historical setting. </w:t>
      </w:r>
      <w:r>
        <w:t>Israel’s actual rescue and Hosea’s hope retain their meaning. Egypt is a geographical setting, not a permanent cipher for evil.</w:t>
      </w:r>
    </w:p>
    <w:p>
      <w:pPr>
        <w:keepNext w:val="0"/>
      </w:pPr>
      <w:r>
        <w:rPr>
          <w:b/>
        </w:rPr>
        <w:t xml:space="preserve">Assessment. </w:t>
      </w:r>
      <w:r>
        <w:t>Kim analyzes the textual forms and typological debate. Beale argues that Hosea’s own renewed-exodus horizon supplies a contextual bridge.</w:t>
      </w:r>
      <w:r>
        <w:rPr>
          <w:vertAlign w:val="superscript"/>
        </w:rPr>
        <w:footnoteReference w:id="20"/>
      </w:r>
    </w:p>
    <w:p>
      <w:pPr>
        <w:keepNext w:val="0"/>
      </w:pPr>
      <w:r>
        <w:rPr>
          <w:b/>
        </w:rPr>
        <w:t xml:space="preserve">Strongest counterargument. </w:t>
      </w:r>
      <w:r>
        <w:t>Hosea 11:1 looks backward, and the next verse describes idolatry, which cannot be transferred to Jesus.</w:t>
      </w:r>
    </w:p>
    <w:p>
      <w:pPr>
        <w:keepNext w:val="0"/>
      </w:pPr>
      <w:r>
        <w:rPr>
          <w:b/>
        </w:rPr>
        <w:t xml:space="preserve">Conclusion and placement. </w:t>
      </w:r>
      <w:r>
        <w:t>Include Jesus as faithful Son and the new deliverance. Consolidate Hosea here rather than count it as an unrelated itinerary prediction. Public priority: anchor.</w:t>
      </w:r>
    </w:p>
    <w:p>
      <w:pPr>
        <w:pStyle w:val="Heading2"/>
      </w:pPr>
      <w:r>
        <w:t>C13 Manna and the bread of life</w:t>
      </w:r>
    </w:p>
    <w:p>
      <w:pPr>
        <w:keepNext/>
      </w:pPr>
      <w:r>
        <w:rPr>
          <w:i/>
        </w:rPr>
        <w:t>Exodus and wilderness | Type / Foreshadowing | Explicit</w:t>
      </w:r>
    </w:p>
    <w:p>
      <w:pPr>
        <w:keepNext/>
      </w:pPr>
      <w:r>
        <w:rPr>
          <w:b/>
        </w:rPr>
        <w:t xml:space="preserve">Scripture. </w:t>
      </w:r>
      <w:r>
        <w:t>Exodus 16; Deuteronomy 8:2–3 → John 6:30–58</w:t>
      </w:r>
      <w:r>
        <w:rPr>
          <w:vertAlign w:val="superscript"/>
        </w:rPr>
        <w:footnoteReference w:id="21"/>
      </w:r>
    </w:p>
    <w:p>
      <w:pPr>
        <w:keepNext w:val="0"/>
      </w:pPr>
      <w:r>
        <w:rPr>
          <w:b/>
        </w:rPr>
        <w:t xml:space="preserve">Original context. </w:t>
      </w:r>
      <w:r>
        <w:t>God feeds a hungry people and teaches daily dependence and Sabbath discipline.</w:t>
      </w:r>
    </w:p>
    <w:p>
      <w:pPr>
        <w:keepNext w:val="0"/>
      </w:pPr>
      <w:r>
        <w:rPr>
          <w:b/>
        </w:rPr>
        <w:t xml:space="preserve">Connection and explicitness. </w:t>
      </w:r>
      <w:r>
        <w:t>Jesus explicitly discusses manna and identifies himself as the true bread giving life to the world. The earlier gift is surpassed, not denied.</w:t>
      </w:r>
    </w:p>
    <w:p>
      <w:pPr>
        <w:keepNext w:val="0"/>
      </w:pPr>
      <w:r>
        <w:rPr>
          <w:b/>
        </w:rPr>
        <w:t xml:space="preserve">Language and text. </w:t>
      </w:r>
      <w:r>
        <w:t>True bread in the discourse denotes definitive divine provision. The person who gives life is not simply another edible object.</w:t>
      </w:r>
    </w:p>
    <w:p>
      <w:pPr>
        <w:keepNext w:val="0"/>
      </w:pPr>
      <w:r>
        <w:rPr>
          <w:b/>
        </w:rPr>
        <w:t xml:space="preserve">Jewish and historical setting. </w:t>
      </w:r>
      <w:r>
        <w:t>Read this within Israel’s own narrative, worship or covenant life. No universal pre-Christian messianic consensus is asserted for this particular connection.</w:t>
      </w:r>
    </w:p>
    <w:p>
      <w:pPr>
        <w:keepNext w:val="0"/>
      </w:pPr>
      <w:r>
        <w:rPr>
          <w:b/>
        </w:rPr>
        <w:t xml:space="preserve">Assessment. </w:t>
      </w:r>
      <w:r>
        <w:t>The cited biblical argument is the primary evidence. The interpretation is bounded by the original setting and the stated counterargument, rather than by an assumed scholarly consensus.</w:t>
      </w:r>
    </w:p>
    <w:p>
      <w:pPr>
        <w:keepNext w:val="0"/>
      </w:pPr>
      <w:r>
        <w:rPr>
          <w:b/>
        </w:rPr>
        <w:t xml:space="preserve">Strongest counterargument. </w:t>
      </w:r>
      <w:r>
        <w:t>The ancestors ate manna and died. White colour, dew and taste do not independently explain Jesus’s claim.</w:t>
      </w:r>
    </w:p>
    <w:p>
      <w:pPr>
        <w:keepNext w:val="0"/>
      </w:pPr>
      <w:r>
        <w:rPr>
          <w:b/>
        </w:rPr>
        <w:t xml:space="preserve">Conclusion and placement. </w:t>
      </w:r>
      <w:r>
        <w:t>Include the contrast and invitation to life. If eating-and-drinking interpretations are explored, acknowledge sacramental differences rather than settling them through the badge. Public priority: anchor.</w:t>
      </w:r>
    </w:p>
    <w:p>
      <w:pPr>
        <w:pStyle w:val="Heading2"/>
      </w:pPr>
      <w:r>
        <w:t>C14 The rock and sustaining presence</w:t>
      </w:r>
    </w:p>
    <w:p>
      <w:pPr>
        <w:keepNext/>
      </w:pPr>
      <w:r>
        <w:rPr>
          <w:i/>
        </w:rPr>
        <w:t>Exodus and wilderness | Type / Foreshadowing | Explicit</w:t>
      </w:r>
    </w:p>
    <w:p>
      <w:pPr>
        <w:keepNext/>
      </w:pPr>
      <w:r>
        <w:rPr>
          <w:b/>
        </w:rPr>
        <w:t xml:space="preserve">Scripture. </w:t>
      </w:r>
      <w:r>
        <w:t>Exodus 17:1–7; Numbers 20:1–13 → 1 Corinthians 10:1–13</w:t>
      </w:r>
      <w:r>
        <w:rPr>
          <w:vertAlign w:val="superscript"/>
        </w:rPr>
        <w:footnoteReference w:id="22"/>
      </w:r>
    </w:p>
    <w:p>
      <w:pPr>
        <w:keepNext w:val="0"/>
      </w:pPr>
      <w:r>
        <w:rPr>
          <w:b/>
        </w:rPr>
        <w:t xml:space="preserve">Original context. </w:t>
      </w:r>
      <w:r>
        <w:t>God supplies water amid complaint. The later incident also records Moses’s disobedience.</w:t>
      </w:r>
    </w:p>
    <w:p>
      <w:pPr>
        <w:keepNext w:val="0"/>
      </w:pPr>
      <w:r>
        <w:rPr>
          <w:b/>
        </w:rPr>
        <w:t xml:space="preserve">Connection and explicitness. </w:t>
      </w:r>
      <w:r>
        <w:t>Paul directly identifies the spiritual rock with Christ while warning that participation in divine provision does not excuse idolatry.</w:t>
      </w:r>
    </w:p>
    <w:p>
      <w:pPr>
        <w:keepNext w:val="0"/>
      </w:pPr>
      <w:r>
        <w:rPr>
          <w:b/>
        </w:rPr>
        <w:t xml:space="preserve">Language and text. </w:t>
      </w:r>
      <w:r>
        <w:t>Pneumatikos (πνευματικός), spiritual, concerns divinely supplied significance; it need not mean unreal. Following must not be converted into a claim that a stone rolled behind Israel.</w:t>
      </w:r>
    </w:p>
    <w:p>
      <w:pPr>
        <w:keepNext w:val="0"/>
      </w:pPr>
      <w:r>
        <w:rPr>
          <w:b/>
        </w:rPr>
        <w:t xml:space="preserve">Jewish and historical setting. </w:t>
      </w:r>
      <w:r>
        <w:t>Read this within Israel’s own narrative, worship or covenant life. No universal pre-Christian messianic consensus is asserted for this particular connection.</w:t>
      </w:r>
    </w:p>
    <w:p>
      <w:pPr>
        <w:keepNext w:val="0"/>
      </w:pPr>
      <w:r>
        <w:rPr>
          <w:b/>
        </w:rPr>
        <w:t xml:space="preserve">Assessment. </w:t>
      </w:r>
      <w:r>
        <w:t>The cited biblical argument is the primary evidence. The interpretation is bounded by the original setting and the stated counterargument, rather than by an assumed scholarly consensus.</w:t>
      </w:r>
    </w:p>
    <w:p>
      <w:pPr>
        <w:keepNext w:val="0"/>
      </w:pPr>
      <w:r>
        <w:rPr>
          <w:b/>
        </w:rPr>
        <w:t xml:space="preserve">Strongest counterargument. </w:t>
      </w:r>
      <w:r>
        <w:t>The claim that Christ may be struck only once imposes a symbolism system on Moses’s recorded disobedience that Paul does not give.</w:t>
      </w:r>
    </w:p>
    <w:p>
      <w:pPr>
        <w:keepNext w:val="0"/>
      </w:pPr>
      <w:r>
        <w:rPr>
          <w:b/>
        </w:rPr>
        <w:t xml:space="preserve">Conclusion and placement. </w:t>
      </w:r>
      <w:r>
        <w:t>Include provision, presence and Paul’s warning. Do not base the explanation on unverified mobile-well traditions. Public priority: short connection.</w:t>
      </w:r>
    </w:p>
    <w:p>
      <w:pPr>
        <w:pStyle w:val="Heading2"/>
      </w:pPr>
      <w:r>
        <w:t>C15 Tabernacle and temple as God s dwelling</w:t>
      </w:r>
    </w:p>
    <w:p>
      <w:pPr>
        <w:keepNext/>
      </w:pPr>
      <w:r>
        <w:rPr>
          <w:i/>
        </w:rPr>
        <w:t>Exodus and wilderness | Type / Foreshadowing | Explicit</w:t>
      </w:r>
    </w:p>
    <w:p>
      <w:pPr>
        <w:keepNext/>
      </w:pPr>
      <w:r>
        <w:rPr>
          <w:b/>
        </w:rPr>
        <w:t xml:space="preserve">Scripture. </w:t>
      </w:r>
      <w:r>
        <w:t>Exodus 25:8–9; 40:34–38; 1 Kings 8:27–30 → John 1:14; 2:19–22; Hebrews 8:1–6; 9:1–14</w:t>
      </w:r>
      <w:r>
        <w:rPr>
          <w:vertAlign w:val="superscript"/>
        </w:rPr>
        <w:footnoteReference w:id="23"/>
      </w:r>
    </w:p>
    <w:p>
      <w:pPr>
        <w:keepNext w:val="0"/>
      </w:pPr>
      <w:r>
        <w:rPr>
          <w:b/>
        </w:rPr>
        <w:t xml:space="preserve">Original context. </w:t>
      </w:r>
      <w:r>
        <w:t>The sanctuary orders worship and marks God’s presence. Solomon later recognizes that no building contains God.</w:t>
      </w:r>
    </w:p>
    <w:p>
      <w:pPr>
        <w:keepNext w:val="0"/>
      </w:pPr>
      <w:r>
        <w:rPr>
          <w:b/>
        </w:rPr>
        <w:t xml:space="preserve">Connection and explicitness. </w:t>
      </w:r>
      <w:r>
        <w:t>John explicitly identifies Jesus’s body as the temple. Hebrews contrasts earthly sanctuary service with Christ’s ministry; John’s dwelling and glory language reinforces the connection.</w:t>
      </w:r>
    </w:p>
    <w:p>
      <w:pPr>
        <w:keepNext w:val="0"/>
      </w:pPr>
      <w:r>
        <w:rPr>
          <w:b/>
        </w:rPr>
        <w:t xml:space="preserve">Language and text. </w:t>
      </w:r>
      <w:r>
        <w:t>Eskēnōsen (ἐσκήνωσεν), dwelt or pitched a tent, supports a tabernacle resonance in context. Etymology alone is not the argument.</w:t>
      </w:r>
    </w:p>
    <w:p>
      <w:pPr>
        <w:keepNext w:val="0"/>
      </w:pPr>
      <w:r>
        <w:rPr>
          <w:b/>
        </w:rPr>
        <w:t xml:space="preserve">Jewish and historical setting. </w:t>
      </w:r>
      <w:r>
        <w:t>Read this within Israel’s own narrative, worship or covenant life. No universal pre-Christian messianic consensus is asserted for this particular connection.</w:t>
      </w:r>
    </w:p>
    <w:p>
      <w:pPr>
        <w:keepNext w:val="0"/>
      </w:pPr>
      <w:r>
        <w:rPr>
          <w:b/>
        </w:rPr>
        <w:t xml:space="preserve">Assessment. </w:t>
      </w:r>
      <w:r>
        <w:t>The cited biblical argument is the primary evidence. The interpretation is bounded by the original setting and the stated counterargument, rather than by an assumed scholarly consensus.</w:t>
      </w:r>
    </w:p>
    <w:p>
      <w:pPr>
        <w:keepNext w:val="0"/>
      </w:pPr>
      <w:r>
        <w:rPr>
          <w:b/>
        </w:rPr>
        <w:t xml:space="preserve">Strongest counterargument. </w:t>
      </w:r>
      <w:r>
        <w:t>No NT passage supplies a separate Christ-code for each colour, peg, garment or measurement.</w:t>
      </w:r>
    </w:p>
    <w:p>
      <w:pPr>
        <w:keepNext w:val="0"/>
      </w:pPr>
      <w:r>
        <w:rPr>
          <w:b/>
        </w:rPr>
        <w:t xml:space="preserve">Conclusion and placement. </w:t>
      </w:r>
      <w:r>
        <w:t>Include presence and access. Consolidate the later temple continuation here, without retelling the same institution as another independent proof. Public priority: anchor.</w:t>
      </w:r>
    </w:p>
    <w:p>
      <w:pPr>
        <w:pStyle w:val="Heading2"/>
      </w:pPr>
      <w:r>
        <w:t>C16 Priesthood and repeated sacrifices</w:t>
      </w:r>
    </w:p>
    <w:p>
      <w:pPr>
        <w:keepNext/>
      </w:pPr>
      <w:r>
        <w:rPr>
          <w:i/>
        </w:rPr>
        <w:t>Exodus and wilderness | Type / Foreshadowing | Explicit</w:t>
      </w:r>
    </w:p>
    <w:p>
      <w:pPr>
        <w:keepNext/>
      </w:pPr>
      <w:r>
        <w:rPr>
          <w:b/>
        </w:rPr>
        <w:t xml:space="preserve">Scripture. </w:t>
      </w:r>
      <w:r>
        <w:t>Exodus 28–29; Leviticus 1–7 → Hebrews 4:14–5:10; 7:23–28; 10:1–14</w:t>
      </w:r>
      <w:r>
        <w:rPr>
          <w:vertAlign w:val="superscript"/>
        </w:rPr>
        <w:footnoteReference w:id="24"/>
      </w:r>
    </w:p>
    <w:p>
      <w:pPr>
        <w:keepNext w:val="0"/>
      </w:pPr>
      <w:r>
        <w:rPr>
          <w:b/>
        </w:rPr>
        <w:t xml:space="preserve">Original context. </w:t>
      </w:r>
      <w:r>
        <w:t>Priests and offerings serve worship, purification, restitution and restored relationship within the covenant.</w:t>
      </w:r>
    </w:p>
    <w:p>
      <w:pPr>
        <w:keepNext w:val="0"/>
      </w:pPr>
      <w:r>
        <w:rPr>
          <w:b/>
        </w:rPr>
        <w:t xml:space="preserve">Connection and explicitness. </w:t>
      </w:r>
      <w:r>
        <w:t>Hebrews explicitly presents Jesus as the sinless high priest whose self-offering accomplishes what repeated animal offerings cannot finally accomplish.</w:t>
      </w:r>
    </w:p>
    <w:p>
      <w:pPr>
        <w:keepNext w:val="0"/>
      </w:pPr>
      <w:r>
        <w:rPr>
          <w:b/>
        </w:rPr>
        <w:t xml:space="preserve">Language and text. </w:t>
      </w:r>
      <w:r>
        <w:t>Skia (σκιά), shadow, expresses anticipatory relation and limitation. It does not mean the institution was worthless or deceptive.</w:t>
      </w:r>
    </w:p>
    <w:p>
      <w:pPr>
        <w:keepNext w:val="0"/>
      </w:pPr>
      <w:r>
        <w:rPr>
          <w:b/>
        </w:rPr>
        <w:t xml:space="preserve">Jewish and historical setting. </w:t>
      </w:r>
      <w:r>
        <w:t>Read this within Israel’s own narrative, worship or covenant life. No universal pre-Christian messianic consensus is asserted for this particular connection.</w:t>
      </w:r>
    </w:p>
    <w:p>
      <w:pPr>
        <w:keepNext w:val="0"/>
      </w:pPr>
      <w:r>
        <w:rPr>
          <w:b/>
        </w:rPr>
        <w:t xml:space="preserve">Assessment. </w:t>
      </w:r>
      <w:r>
        <w:t>The cited biblical argument is the primary evidence. The interpretation is bounded by the original setting and the stated counterargument, rather than by an assumed scholarly consensus.</w:t>
      </w:r>
    </w:p>
    <w:p>
      <w:pPr>
        <w:keepNext w:val="0"/>
      </w:pPr>
      <w:r>
        <w:rPr>
          <w:b/>
        </w:rPr>
        <w:t xml:space="preserve">Strongest counterargument. </w:t>
      </w:r>
      <w:r>
        <w:t>Leviticus itself speaks of forgiveness. Saying the sacrifices never mattered, or that every offering is the same judicial fine, misrepresents their variety.</w:t>
      </w:r>
    </w:p>
    <w:p>
      <w:pPr>
        <w:keepNext w:val="0"/>
      </w:pPr>
      <w:r>
        <w:rPr>
          <w:b/>
        </w:rPr>
        <w:t xml:space="preserve">Conclusion and placement. </w:t>
      </w:r>
      <w:r>
        <w:t>Include repeated service and Christ’s once-for-all offering. Keep the annual rite’s particular logic in C17. Public priority: anchor.</w:t>
      </w:r>
    </w:p>
    <w:p>
      <w:pPr>
        <w:pStyle w:val="Heading2"/>
      </w:pPr>
      <w:r>
        <w:t>C17 Day of Atonement and access to God</w:t>
      </w:r>
    </w:p>
    <w:p>
      <w:pPr>
        <w:keepNext/>
      </w:pPr>
      <w:r>
        <w:rPr>
          <w:i/>
        </w:rPr>
        <w:t>Exodus and wilderness | Type / Foreshadowing | Explicit</w:t>
      </w:r>
    </w:p>
    <w:p>
      <w:pPr>
        <w:keepNext/>
      </w:pPr>
      <w:r>
        <w:rPr>
          <w:b/>
        </w:rPr>
        <w:t xml:space="preserve">Scripture. </w:t>
      </w:r>
      <w:r>
        <w:t>Leviticus 16 → Hebrews 9:6–14, 24–28; 13:11–13</w:t>
      </w:r>
      <w:r>
        <w:rPr>
          <w:vertAlign w:val="superscript"/>
        </w:rPr>
        <w:footnoteReference w:id="25"/>
      </w:r>
    </w:p>
    <w:p>
      <w:pPr>
        <w:keepNext w:val="0"/>
      </w:pPr>
      <w:r>
        <w:rPr>
          <w:b/>
        </w:rPr>
        <w:t xml:space="preserve">Original context. </w:t>
      </w:r>
      <w:r>
        <w:t>The annual rite includes inner-sanctuary access, blood purification and a living goat carrying confessed sins away.</w:t>
      </w:r>
    </w:p>
    <w:p>
      <w:pPr>
        <w:keepNext w:val="0"/>
      </w:pPr>
      <w:r>
        <w:rPr>
          <w:b/>
        </w:rPr>
        <w:t xml:space="preserve">Connection and explicitness. </w:t>
      </w:r>
      <w:r>
        <w:t>Hebrews explicitly contrasts annual access with Christ’s entrance and self-offering, and connects suffering outside the gate with sacrifices burned outside the camp.</w:t>
      </w:r>
    </w:p>
    <w:p>
      <w:pPr>
        <w:keepNext w:val="0"/>
      </w:pPr>
      <w:r>
        <w:rPr>
          <w:b/>
        </w:rPr>
        <w:t xml:space="preserve">Language and text. </w:t>
      </w:r>
      <w:r>
        <w:t>Kipper (כִּפֶּר) must be understood through ritual objects and actions, not an etymological claim that sin is merely covered. Azazel remains disputed.</w:t>
      </w:r>
    </w:p>
    <w:p>
      <w:pPr>
        <w:keepNext w:val="0"/>
      </w:pPr>
      <w:r>
        <w:rPr>
          <w:b/>
        </w:rPr>
        <w:t xml:space="preserve">Jewish and historical setting. </w:t>
      </w:r>
      <w:r>
        <w:t>Read this within Israel’s own narrative, worship or covenant life. No universal pre-Christian messianic consensus is asserted for this particular connection.</w:t>
      </w:r>
    </w:p>
    <w:p>
      <w:pPr>
        <w:keepNext w:val="0"/>
      </w:pPr>
      <w:r>
        <w:rPr>
          <w:b/>
        </w:rPr>
        <w:t xml:space="preserve">Assessment. </w:t>
      </w:r>
      <w:r>
        <w:t>The cited biblical argument is the primary evidence. The interpretation is bounded by the original setting and the stated counterargument, rather than by an assumed scholarly consensus.</w:t>
      </w:r>
    </w:p>
    <w:p>
      <w:pPr>
        <w:keepNext w:val="0"/>
      </w:pPr>
      <w:r>
        <w:rPr>
          <w:b/>
        </w:rPr>
        <w:t xml:space="preserve">Strongest counterargument. </w:t>
      </w:r>
      <w:r>
        <w:t>A separate NT identification of each goat as Christ is absent. Dramatic illustration can collapse two distinct actions into an invented ritual.</w:t>
      </w:r>
    </w:p>
    <w:p>
      <w:pPr>
        <w:keepNext w:val="0"/>
      </w:pPr>
      <w:r>
        <w:rPr>
          <w:b/>
        </w:rPr>
        <w:t xml:space="preserve">Conclusion and placement. </w:t>
      </w:r>
      <w:r>
        <w:t>Explain cleansing, removal and access with restraint. Do not make an Azazel identification carry Christian doctrine. Public priority: anchor.</w:t>
      </w:r>
    </w:p>
    <w:p>
      <w:pPr>
        <w:pStyle w:val="Heading2"/>
      </w:pPr>
      <w:r>
        <w:t>C18 The lifted serpent</w:t>
      </w:r>
    </w:p>
    <w:p>
      <w:pPr>
        <w:keepNext/>
      </w:pPr>
      <w:r>
        <w:rPr>
          <w:i/>
        </w:rPr>
        <w:t>Exodus and wilderness | Type / Foreshadowing | Explicit</w:t>
      </w:r>
    </w:p>
    <w:p>
      <w:pPr>
        <w:keepNext/>
      </w:pPr>
      <w:r>
        <w:rPr>
          <w:b/>
        </w:rPr>
        <w:t xml:space="preserve">Scripture. </w:t>
      </w:r>
      <w:r>
        <w:t>Numbers 21:4–9; 2 Kings 18:4 → John 3:14–18; 12:32–33</w:t>
      </w:r>
      <w:r>
        <w:rPr>
          <w:vertAlign w:val="superscript"/>
        </w:rPr>
        <w:footnoteReference w:id="26"/>
      </w:r>
    </w:p>
    <w:p>
      <w:pPr>
        <w:keepNext w:val="0"/>
      </w:pPr>
      <w:r>
        <w:rPr>
          <w:b/>
        </w:rPr>
        <w:t xml:space="preserve">Original context. </w:t>
      </w:r>
      <w:r>
        <w:t>Following judgment through serpents, God provides healing for those who look as instructed. The object later becomes an idol and is destroyed.</w:t>
      </w:r>
    </w:p>
    <w:p>
      <w:pPr>
        <w:keepNext w:val="0"/>
      </w:pPr>
      <w:r>
        <w:rPr>
          <w:b/>
        </w:rPr>
        <w:t xml:space="preserve">Connection and explicitness. </w:t>
      </w:r>
      <w:r>
        <w:t>Jesus explicitly compares Moses’s lifting of the serpent with the lifting of the Son of Man, so that believers may have life.</w:t>
      </w:r>
    </w:p>
    <w:p>
      <w:pPr>
        <w:keepNext w:val="0"/>
      </w:pPr>
      <w:r>
        <w:rPr>
          <w:b/>
        </w:rPr>
        <w:t xml:space="preserve">Language and text. </w:t>
      </w:r>
      <w:r>
        <w:t>Hypsoō (ὑψόω), lift up or exalt, is clarified by John’s reference to Jesus’s manner of death. It does not establish moral identity with the serpent.</w:t>
      </w:r>
    </w:p>
    <w:p>
      <w:pPr>
        <w:keepNext w:val="0"/>
      </w:pPr>
      <w:r>
        <w:rPr>
          <w:b/>
        </w:rPr>
        <w:t xml:space="preserve">Jewish and historical setting. </w:t>
      </w:r>
      <w:r>
        <w:t>Read this within Israel’s own narrative, worship or covenant life. No universal pre-Christian messianic consensus is asserted for this particular connection.</w:t>
      </w:r>
    </w:p>
    <w:p>
      <w:pPr>
        <w:keepNext w:val="0"/>
      </w:pPr>
      <w:r>
        <w:rPr>
          <w:b/>
        </w:rPr>
        <w:t xml:space="preserve">Assessment. </w:t>
      </w:r>
      <w:r>
        <w:t>The cited biblical argument is the primary evidence. The interpretation is bounded by the original setting and the stated counterargument, rather than by an assumed scholarly consensus.</w:t>
      </w:r>
    </w:p>
    <w:p>
      <w:pPr>
        <w:keepNext w:val="0"/>
      </w:pPr>
      <w:r>
        <w:rPr>
          <w:b/>
        </w:rPr>
        <w:t xml:space="preserve">Strongest counterargument. </w:t>
      </w:r>
      <w:r>
        <w:t>Neither Satan’s character nor a claim that Jesus became morally sinful may be imported from the object. Its metal and exact pole shape are not independent predictions.</w:t>
      </w:r>
    </w:p>
    <w:p>
      <w:pPr>
        <w:keepNext w:val="0"/>
      </w:pPr>
      <w:r>
        <w:rPr>
          <w:b/>
        </w:rPr>
        <w:t xml:space="preserve">Conclusion and placement. </w:t>
      </w:r>
      <w:r>
        <w:t>Make this a major clear example centred on believing and receiving life. Public priority: anchor.</w:t>
      </w:r>
    </w:p>
    <w:p>
      <w:pPr>
        <w:pStyle w:val="Heading2"/>
      </w:pPr>
      <w:r>
        <w:t>C19 A prophet like Moses</w:t>
      </w:r>
    </w:p>
    <w:p>
      <w:pPr>
        <w:keepNext/>
      </w:pPr>
      <w:r>
        <w:rPr>
          <w:i/>
        </w:rPr>
        <w:t>Exodus and wilderness | Messianic Prophecy | Explicit</w:t>
      </w:r>
    </w:p>
    <w:p>
      <w:pPr>
        <w:keepNext/>
      </w:pPr>
      <w:r>
        <w:rPr>
          <w:b/>
        </w:rPr>
        <w:t xml:space="preserve">Scripture. </w:t>
      </w:r>
      <w:r>
        <w:t>Deuteronomy 18:9–22; 34:10–12 → Acts 3:17–26; 7:37; John 6:14</w:t>
      </w:r>
      <w:r>
        <w:rPr>
          <w:vertAlign w:val="superscript"/>
        </w:rPr>
        <w:footnoteReference w:id="27"/>
      </w:r>
    </w:p>
    <w:p>
      <w:pPr>
        <w:keepNext w:val="0"/>
      </w:pPr>
      <w:r>
        <w:rPr>
          <w:b/>
        </w:rPr>
        <w:t xml:space="preserve">Original context. </w:t>
      </w:r>
      <w:r>
        <w:t>Israel is directed away from divination toward authorized prophetic speech, with tests against false claimants.</w:t>
      </w:r>
    </w:p>
    <w:p>
      <w:pPr>
        <w:keepNext w:val="0"/>
      </w:pPr>
      <w:r>
        <w:rPr>
          <w:b/>
        </w:rPr>
        <w:t xml:space="preserve">Connection and explicitness. </w:t>
      </w:r>
      <w:r>
        <w:t>Peter explicitly applies the prophet-like-Moses promise to Jesus and calls the audience to hear him.</w:t>
      </w:r>
    </w:p>
    <w:p>
      <w:pPr>
        <w:keepNext w:val="0"/>
      </w:pPr>
      <w:r>
        <w:rPr>
          <w:b/>
        </w:rPr>
        <w:t xml:space="preserve">Language and text. </w:t>
      </w:r>
      <w:r>
        <w:t>Naviʾ (נָבִיא), prophet, identifies God’s messenger. Similarity to Moses is controlled by the passage, not arbitrary matching details.</w:t>
      </w:r>
    </w:p>
    <w:p>
      <w:pPr>
        <w:keepNext w:val="0"/>
      </w:pPr>
      <w:r>
        <w:rPr>
          <w:b/>
        </w:rPr>
        <w:t xml:space="preserve">Jewish and historical setting. </w:t>
      </w:r>
      <w:r>
        <w:t>Read this within Israel’s own narrative, worship or covenant life. No universal pre-Christian messianic consensus is asserted for this particular connection.</w:t>
      </w:r>
    </w:p>
    <w:p>
      <w:pPr>
        <w:keepNext w:val="0"/>
      </w:pPr>
      <w:r>
        <w:rPr>
          <w:b/>
        </w:rPr>
        <w:t xml:space="preserve">Assessment. </w:t>
      </w:r>
      <w:r>
        <w:t>The cited biblical argument is the primary evidence. The interpretation is bounded by the original setting and the stated counterargument, rather than by an assumed scholarly consensus.</w:t>
      </w:r>
    </w:p>
    <w:p>
      <w:pPr>
        <w:keepNext w:val="0"/>
      </w:pPr>
      <w:r>
        <w:rPr>
          <w:b/>
        </w:rPr>
        <w:t xml:space="preserve">Strongest counterargument. </w:t>
      </w:r>
      <w:r>
        <w:t>The immediate setting includes ongoing prophetic succession. An exclusively remote prediction does not adequately explain the institutional context.</w:t>
      </w:r>
    </w:p>
    <w:p>
      <w:pPr>
        <w:keepNext w:val="0"/>
      </w:pPr>
      <w:r>
        <w:rPr>
          <w:b/>
        </w:rPr>
        <w:t xml:space="preserve">Conclusion and placement. </w:t>
      </w:r>
      <w:r>
        <w:t>Include the explicit apostolic application and the call to listen, while preserving the prophetic institution behind the promise. Public priority: anchor.</w:t>
      </w:r>
    </w:p>
    <w:p>
      <w:pPr>
        <w:pStyle w:val="Heading2"/>
      </w:pPr>
      <w:r>
        <w:t>C20 The curse of the tree</w:t>
      </w:r>
    </w:p>
    <w:p>
      <w:pPr>
        <w:keepNext/>
      </w:pPr>
      <w:r>
        <w:rPr>
          <w:i/>
        </w:rPr>
        <w:t>Exodus and wilderness | Canonical Pattern | Explicit</w:t>
      </w:r>
    </w:p>
    <w:p>
      <w:pPr>
        <w:keepNext/>
      </w:pPr>
      <w:r>
        <w:rPr>
          <w:b/>
        </w:rPr>
        <w:t xml:space="preserve">Scripture. </w:t>
      </w:r>
      <w:r>
        <w:t>Deuteronomy 21:22–23 → Galatians 3:10–14; Acts 5:30; 1 Peter 2:24</w:t>
      </w:r>
      <w:r>
        <w:rPr>
          <w:vertAlign w:val="superscript"/>
        </w:rPr>
        <w:footnoteReference w:id="28"/>
      </w:r>
    </w:p>
    <w:p>
      <w:pPr>
        <w:keepNext w:val="0"/>
      </w:pPr>
      <w:r>
        <w:rPr>
          <w:b/>
        </w:rPr>
        <w:t xml:space="preserve">Original context. </w:t>
      </w:r>
      <w:r>
        <w:t>The law concerns an executed person displayed on wood and burial without defiling the land.</w:t>
      </w:r>
    </w:p>
    <w:p>
      <w:pPr>
        <w:keepNext w:val="0"/>
      </w:pPr>
      <w:r>
        <w:rPr>
          <w:b/>
        </w:rPr>
        <w:t xml:space="preserve">Connection and explicitness. </w:t>
      </w:r>
      <w:r>
        <w:t>Paul explicitly applies the curse language to Christ’s crucifixion while explaining redemption and blessing for the nations.</w:t>
      </w:r>
    </w:p>
    <w:p>
      <w:pPr>
        <w:keepNext w:val="0"/>
      </w:pPr>
      <w:r>
        <w:rPr>
          <w:b/>
        </w:rPr>
        <w:t xml:space="preserve">Language and text. </w:t>
      </w:r>
      <w:r>
        <w:t>Xylon (ξύλον) can mean wood or tree. It establishes neither botanical species nor the exact shape of the execution device.</w:t>
      </w:r>
    </w:p>
    <w:p>
      <w:pPr>
        <w:keepNext w:val="0"/>
      </w:pPr>
      <w:r>
        <w:rPr>
          <w:b/>
        </w:rPr>
        <w:t xml:space="preserve">Jewish and historical setting. </w:t>
      </w:r>
      <w:r>
        <w:t>Read this within Israel’s own narrative, worship or covenant life. No universal pre-Christian messianic consensus is asserted for this particular connection.</w:t>
      </w:r>
    </w:p>
    <w:p>
      <w:pPr>
        <w:keepNext w:val="0"/>
      </w:pPr>
      <w:r>
        <w:rPr>
          <w:b/>
        </w:rPr>
        <w:t xml:space="preserve">Assessment. </w:t>
      </w:r>
      <w:r>
        <w:t>The cited biblical argument is the primary evidence. The interpretation is bounded by the original setting and the stated counterargument, rather than by an assumed scholarly consensus.</w:t>
      </w:r>
    </w:p>
    <w:p>
      <w:pPr>
        <w:keepNext w:val="0"/>
      </w:pPr>
      <w:r>
        <w:rPr>
          <w:b/>
        </w:rPr>
        <w:t xml:space="preserve">Strongest counterargument. </w:t>
      </w:r>
      <w:r>
        <w:t>The Torah’s immediate subject is not Roman crucifixion; not every reference to wood thereby becomes a cross prediction.</w:t>
      </w:r>
    </w:p>
    <w:p>
      <w:pPr>
        <w:keepNext w:val="0"/>
      </w:pPr>
      <w:r>
        <w:rPr>
          <w:b/>
        </w:rPr>
        <w:t xml:space="preserve">Conclusion and placement. </w:t>
      </w:r>
      <w:r>
        <w:t>Retain as optional legal depth, with a short link in the final Gospel synthesis. Public priority: optional or research.</w:t>
      </w:r>
    </w:p>
    <w:p>
      <w:pPr>
        <w:pStyle w:val="Heading2"/>
      </w:pPr>
      <w:r>
        <w:t>C21 Joshua and the rest still ahead</w:t>
      </w:r>
    </w:p>
    <w:p>
      <w:pPr>
        <w:keepNext/>
      </w:pPr>
      <w:r>
        <w:rPr>
          <w:i/>
        </w:rPr>
        <w:t>Settlement | Canonical Pattern | Explicit</w:t>
      </w:r>
    </w:p>
    <w:p>
      <w:pPr>
        <w:keepNext/>
      </w:pPr>
      <w:r>
        <w:rPr>
          <w:b/>
        </w:rPr>
        <w:t xml:space="preserve">Scripture. </w:t>
      </w:r>
      <w:r>
        <w:t>Joshua 21:43–45; Psalm 95:7–11; Genesis 2:2 → Hebrews 3:7–4:11</w:t>
      </w:r>
      <w:r>
        <w:rPr>
          <w:vertAlign w:val="superscript"/>
        </w:rPr>
        <w:footnoteReference w:id="29"/>
      </w:r>
    </w:p>
    <w:p>
      <w:pPr>
        <w:keepNext w:val="0"/>
      </w:pPr>
      <w:r>
        <w:rPr>
          <w:b/>
        </w:rPr>
        <w:t xml:space="preserve">Original context. </w:t>
      </w:r>
      <w:r>
        <w:t>Joshua describes genuine settlement rest, while the later psalm still invites faithful entry into God’s rest.</w:t>
      </w:r>
    </w:p>
    <w:p>
      <w:pPr>
        <w:keepNext w:val="0"/>
      </w:pPr>
      <w:r>
        <w:rPr>
          <w:b/>
        </w:rPr>
        <w:t xml:space="preserve">Connection and explicitness. </w:t>
      </w:r>
      <w:r>
        <w:t>Hebrews explicitly reasons from the later invitation that Joshua’s rest was not final. The promise remains for God’s people.</w:t>
      </w:r>
    </w:p>
    <w:p>
      <w:pPr>
        <w:keepNext w:val="0"/>
      </w:pPr>
      <w:r>
        <w:rPr>
          <w:b/>
        </w:rPr>
        <w:t xml:space="preserve">Language and text. </w:t>
      </w:r>
      <w:r>
        <w:t>Iēsous (Ἰησοῦς) can name Joshua or Jesus; context identifies Joshua in Hebrews 4:8. Sabbatismos evokes Sabbath rest without settling all observance debates.</w:t>
      </w:r>
    </w:p>
    <w:p>
      <w:pPr>
        <w:keepNext w:val="0"/>
      </w:pPr>
      <w:r>
        <w:rPr>
          <w:b/>
        </w:rPr>
        <w:t xml:space="preserve">Jewish and historical setting. </w:t>
      </w:r>
      <w:r>
        <w:t>Read this within Israel’s own narrative, worship or covenant life. No universal pre-Christian messianic consensus is asserted for this particular connection.</w:t>
      </w:r>
    </w:p>
    <w:p>
      <w:pPr>
        <w:keepNext w:val="0"/>
      </w:pPr>
      <w:r>
        <w:rPr>
          <w:b/>
        </w:rPr>
        <w:t xml:space="preserve">Assessment. </w:t>
      </w:r>
      <w:r>
        <w:t>The cited biblical argument is the primary evidence. The interpretation is bounded by the original setting and the stated counterargument, rather than by an assumed scholarly consensus.</w:t>
      </w:r>
    </w:p>
    <w:p>
      <w:pPr>
        <w:keepNext w:val="0"/>
      </w:pPr>
      <w:r>
        <w:rPr>
          <w:b/>
        </w:rPr>
        <w:t xml:space="preserve">Strongest counterargument. </w:t>
      </w:r>
      <w:r>
        <w:t>Identical names do not prove identical roles. Hebrews’s further promise does not make Joshua’s earlier promise false.</w:t>
      </w:r>
    </w:p>
    <w:p>
      <w:pPr>
        <w:keepNext w:val="0"/>
      </w:pPr>
      <w:r>
        <w:rPr>
          <w:b/>
        </w:rPr>
        <w:t xml:space="preserve">Conclusion and placement. </w:t>
      </w:r>
      <w:r>
        <w:t>Keep as optional continuity. Do not turn Joshua’s battles into a coded crucifixion or an instruction for Christian coercion. Public priority: optional or research.</w:t>
      </w:r>
    </w:p>
    <w:p>
      <w:pPr>
        <w:pStyle w:val="Heading2"/>
      </w:pPr>
      <w:r>
        <w:t>C22 David and the enduring throne</w:t>
      </w:r>
    </w:p>
    <w:p>
      <w:pPr>
        <w:keepNext/>
      </w:pPr>
      <w:r>
        <w:rPr>
          <w:i/>
        </w:rPr>
        <w:t>Royal narrative and Psalter | Promise | Explicit</w:t>
      </w:r>
    </w:p>
    <w:p>
      <w:pPr>
        <w:keepNext/>
      </w:pPr>
      <w:r>
        <w:rPr>
          <w:b/>
        </w:rPr>
        <w:t xml:space="preserve">Scripture. </w:t>
      </w:r>
      <w:r>
        <w:t>2 Samuel 7:8–16; Psalm 89 → Luke 1:30–33; Acts 13:22–23; Hebrews 1:5</w:t>
      </w:r>
      <w:r>
        <w:rPr>
          <w:vertAlign w:val="superscript"/>
        </w:rPr>
        <w:footnoteReference w:id="30"/>
      </w:r>
    </w:p>
    <w:p>
      <w:pPr>
        <w:keepNext w:val="0"/>
      </w:pPr>
      <w:r>
        <w:rPr>
          <w:b/>
        </w:rPr>
        <w:t xml:space="preserve">Original context. </w:t>
      </w:r>
      <w:r>
        <w:t>God promises David a house, descendants and an enduring throne. The immediate dynasty includes successors needing discipline; Psalm 89 laments apparent collapse.</w:t>
      </w:r>
    </w:p>
    <w:p>
      <w:pPr>
        <w:keepNext w:val="0"/>
      </w:pPr>
      <w:r>
        <w:rPr>
          <w:b/>
        </w:rPr>
        <w:t xml:space="preserve">Connection and explicitness. </w:t>
      </w:r>
      <w:r>
        <w:t>Luke and Acts explicitly identify Jesus as the promised royal descendant; Hebrews applies the father-and-son wording to him.</w:t>
      </w:r>
    </w:p>
    <w:p>
      <w:pPr>
        <w:keepNext w:val="0"/>
      </w:pPr>
      <w:r>
        <w:rPr>
          <w:b/>
        </w:rPr>
        <w:t xml:space="preserve">Language and text. </w:t>
      </w:r>
      <w:r>
        <w:t>Bayit (בַּיִת), house, shifts between building and dynasty, clarifying how God’s gift reverses David’s construction plan.</w:t>
      </w:r>
    </w:p>
    <w:p>
      <w:pPr>
        <w:keepNext w:val="0"/>
      </w:pPr>
      <w:r>
        <w:rPr>
          <w:b/>
        </w:rPr>
        <w:t xml:space="preserve">Jewish and historical setting. </w:t>
      </w:r>
      <w:r>
        <w:t>Royal sonship has an Israelite kingship setting before later eschatological development.</w:t>
      </w:r>
    </w:p>
    <w:p>
      <w:pPr>
        <w:keepNext w:val="0"/>
      </w:pPr>
      <w:r>
        <w:rPr>
          <w:b/>
        </w:rPr>
        <w:t xml:space="preserve">Assessment. </w:t>
      </w:r>
      <w:r>
        <w:t>Brettler and Levine’s treatment of royal sonship helps distinguish an original royal relation from a freestanding proof that every anointed king is divine.</w:t>
      </w:r>
      <w:r>
        <w:rPr>
          <w:vertAlign w:val="superscript"/>
        </w:rPr>
        <w:footnoteReference w:id="31"/>
      </w:r>
    </w:p>
    <w:p>
      <w:pPr>
        <w:keepNext w:val="0"/>
      </w:pPr>
      <w:r>
        <w:rPr>
          <w:b/>
        </w:rPr>
        <w:t xml:space="preserve">Strongest counterargument. </w:t>
      </w:r>
      <w:r>
        <w:t>The discipline-for-sin clause describes fallible successors, not Jesus’s personal sin. Solomon and Christ cannot be flattened into one undifferentiated referent.</w:t>
      </w:r>
    </w:p>
    <w:p>
      <w:pPr>
        <w:keepNext w:val="0"/>
      </w:pPr>
      <w:r>
        <w:rPr>
          <w:b/>
        </w:rPr>
        <w:t xml:space="preserve">Conclusion and placement. </w:t>
      </w:r>
      <w:r>
        <w:t>Make promise, royal failure and hope the backbone of the monarchy movement. Public priority: anchor.</w:t>
      </w:r>
    </w:p>
    <w:p>
      <w:pPr>
        <w:pStyle w:val="Heading2"/>
      </w:pPr>
      <w:r>
        <w:t>C48 Solomon and the greater wisdom</w:t>
      </w:r>
    </w:p>
    <w:p>
      <w:pPr>
        <w:keepNext/>
      </w:pPr>
      <w:r>
        <w:rPr>
          <w:i/>
        </w:rPr>
        <w:t>Royal narrative and Psalter | Type / Foreshadowing | Explicit</w:t>
      </w:r>
    </w:p>
    <w:p>
      <w:pPr>
        <w:keepNext/>
      </w:pPr>
      <w:r>
        <w:rPr>
          <w:b/>
        </w:rPr>
        <w:t xml:space="preserve">Scripture. </w:t>
      </w:r>
      <w:r>
        <w:t>1 Kings 3:5–14; 10:1–13; 11:1–13 → Matthew 12:42; Luke 11:31</w:t>
      </w:r>
      <w:r>
        <w:rPr>
          <w:vertAlign w:val="superscript"/>
        </w:rPr>
        <w:footnoteReference w:id="32"/>
      </w:r>
    </w:p>
    <w:p>
      <w:pPr>
        <w:keepNext w:val="0"/>
      </w:pPr>
      <w:r>
        <w:rPr>
          <w:b/>
        </w:rPr>
        <w:t xml:space="preserve">Original context. </w:t>
      </w:r>
      <w:r>
        <w:t>Solomon receives wisdom and attracts the queen of Sheba; his later unfaithfulness reveals the king’s limits.</w:t>
      </w:r>
    </w:p>
    <w:p>
      <w:pPr>
        <w:keepNext w:val="0"/>
      </w:pPr>
      <w:r>
        <w:rPr>
          <w:b/>
        </w:rPr>
        <w:t xml:space="preserve">Connection and explicitness. </w:t>
      </w:r>
      <w:r>
        <w:t>Jesus explicitly compares the queen’s response with his hearers’ response to the greater one now present.</w:t>
      </w:r>
    </w:p>
    <w:p>
      <w:pPr>
        <w:keepNext w:val="0"/>
      </w:pPr>
      <w:r>
        <w:rPr>
          <w:b/>
        </w:rPr>
        <w:t xml:space="preserve">Language and text. </w:t>
      </w:r>
      <w:r>
        <w:t>Pleion (πλεῖον), something greater, expresses superiority; it does not turn every wisdom saying into a direct speech of Jesus.</w:t>
      </w:r>
    </w:p>
    <w:p>
      <w:pPr>
        <w:keepNext w:val="0"/>
      </w:pPr>
      <w:r>
        <w:rPr>
          <w:b/>
        </w:rPr>
        <w:t xml:space="preserve">Jewish and historical setting. </w:t>
      </w:r>
      <w:r>
        <w:t>Read this within Israel’s own narrative, worship or covenant life. No universal pre-Christian messianic consensus is asserted for this particular connection.</w:t>
      </w:r>
    </w:p>
    <w:p>
      <w:pPr>
        <w:keepNext w:val="0"/>
      </w:pPr>
      <w:r>
        <w:rPr>
          <w:b/>
        </w:rPr>
        <w:t xml:space="preserve">Assessment. </w:t>
      </w:r>
      <w:r>
        <w:t>The cited biblical argument is the primary evidence. The interpretation is bounded by the original setting and the stated counterargument, rather than by an assumed scholarly consensus.</w:t>
      </w:r>
    </w:p>
    <w:p>
      <w:pPr>
        <w:keepNext w:val="0"/>
      </w:pPr>
      <w:r>
        <w:rPr>
          <w:b/>
        </w:rPr>
        <w:t xml:space="preserve">Strongest counterargument. </w:t>
      </w:r>
      <w:r>
        <w:t>Solomon’s apostasy, wealth and marriages cannot be transferred to Christ. The queen is not identified as a type of the church.</w:t>
      </w:r>
    </w:p>
    <w:p>
      <w:pPr>
        <w:keepNext w:val="0"/>
      </w:pPr>
      <w:r>
        <w:rPr>
          <w:b/>
        </w:rPr>
        <w:t xml:space="preserve">Conclusion and placement. </w:t>
      </w:r>
      <w:r>
        <w:t>Retain as optional royal-wisdom depth. It broadens the evidence beyond suffering parallels. Public priority: optional or research.</w:t>
      </w:r>
    </w:p>
    <w:p>
      <w:pPr>
        <w:pStyle w:val="Heading2"/>
      </w:pPr>
      <w:r>
        <w:t>C23 Psalm 2 and God s anointed king</w:t>
      </w:r>
    </w:p>
    <w:p>
      <w:pPr>
        <w:keepNext/>
      </w:pPr>
      <w:r>
        <w:rPr>
          <w:i/>
        </w:rPr>
        <w:t>Royal narrative and Psalter | Messianic Prophecy | Explicit</w:t>
      </w:r>
    </w:p>
    <w:p>
      <w:pPr>
        <w:keepNext/>
      </w:pPr>
      <w:r>
        <w:rPr>
          <w:b/>
        </w:rPr>
        <w:t xml:space="preserve">Scripture. </w:t>
      </w:r>
      <w:r>
        <w:t>Psalm 2 → Acts 4:25–28; 13:32–33; Hebrews 1:5; 5:5</w:t>
      </w:r>
      <w:r>
        <w:rPr>
          <w:vertAlign w:val="superscript"/>
        </w:rPr>
        <w:footnoteReference w:id="33"/>
      </w:r>
    </w:p>
    <w:p>
      <w:pPr>
        <w:keepNext w:val="0"/>
      </w:pPr>
      <w:r>
        <w:rPr>
          <w:b/>
        </w:rPr>
        <w:t xml:space="preserve">Original context. </w:t>
      </w:r>
      <w:r>
        <w:t>Nations oppose the king installed on Zion; God declares royal sonship and grants authority.</w:t>
      </w:r>
    </w:p>
    <w:p>
      <w:pPr>
        <w:keepNext w:val="0"/>
      </w:pPr>
      <w:r>
        <w:rPr>
          <w:b/>
        </w:rPr>
        <w:t xml:space="preserve">Connection and explicitness. </w:t>
      </w:r>
      <w:r>
        <w:t>Acts explicitly applies opposition and sonship language to Jesus. Hebrews uses the psalm for the Son’s status and priestly appointment.</w:t>
      </w:r>
    </w:p>
    <w:p>
      <w:pPr>
        <w:keepNext w:val="0"/>
      </w:pPr>
      <w:r>
        <w:rPr>
          <w:b/>
        </w:rPr>
        <w:t xml:space="preserve">Language and text. </w:t>
      </w:r>
      <w:r>
        <w:t>Mashiaḥ and christos (χριστός) mean anointed one. The NT makes the particular identification; the vocabulary does not automatically refer to Jesus in every OT use.</w:t>
      </w:r>
    </w:p>
    <w:p>
      <w:pPr>
        <w:keepNext w:val="0"/>
      </w:pPr>
      <w:r>
        <w:rPr>
          <w:b/>
        </w:rPr>
        <w:t xml:space="preserve">Jewish and historical setting. </w:t>
      </w:r>
      <w:r>
        <w:t>Psalms of Solomon 17 and 4Q174 witness particular eschatological royal readings, not a single Jewish consensus.</w:t>
      </w:r>
    </w:p>
    <w:p>
      <w:pPr>
        <w:keepNext w:val="0"/>
      </w:pPr>
      <w:r>
        <w:rPr>
          <w:b/>
        </w:rPr>
        <w:t xml:space="preserve">Assessment. </w:t>
      </w:r>
      <w:r>
        <w:t>Brettler and Levine emphasize royal adoption language and developing reception. Their historical reading is a necessary counterweight to isolated lexical proofs.</w:t>
      </w:r>
      <w:r>
        <w:rPr>
          <w:vertAlign w:val="superscript"/>
        </w:rPr>
        <w:footnoteReference w:id="34"/>
      </w:r>
    </w:p>
    <w:p>
      <w:pPr>
        <w:keepNext w:val="0"/>
      </w:pPr>
      <w:r>
        <w:rPr>
          <w:b/>
        </w:rPr>
        <w:t xml:space="preserve">Strongest counterargument. </w:t>
      </w:r>
      <w:r>
        <w:t>An original royal ceremony does not by itself articulate the full NT doctrine of the Son.</w:t>
      </w:r>
    </w:p>
    <w:p>
      <w:pPr>
        <w:keepNext w:val="0"/>
      </w:pPr>
      <w:r>
        <w:rPr>
          <w:b/>
        </w:rPr>
        <w:t xml:space="preserve">Conclusion and placement. </w:t>
      </w:r>
      <w:r>
        <w:t>Include briefly within royal hope, with original-context clarity. Public priority: optional or research.</w:t>
      </w:r>
    </w:p>
    <w:p>
      <w:pPr>
        <w:pStyle w:val="Heading2"/>
      </w:pPr>
      <w:r>
        <w:t>C49 Humanity crowned with glory</w:t>
      </w:r>
    </w:p>
    <w:p>
      <w:pPr>
        <w:keepNext/>
      </w:pPr>
      <w:r>
        <w:rPr>
          <w:i/>
        </w:rPr>
        <w:t>Royal narrative and Psalter | Canonical Pattern | Explicit</w:t>
      </w:r>
    </w:p>
    <w:p>
      <w:pPr>
        <w:keepNext/>
      </w:pPr>
      <w:r>
        <w:rPr>
          <w:b/>
        </w:rPr>
        <w:t xml:space="preserve">Scripture. </w:t>
      </w:r>
      <w:r>
        <w:t>Psalm 8:3–8 → Hebrews 2:5–10; 1 Corinthians 15:27; Ephesians 1:22</w:t>
      </w:r>
      <w:r>
        <w:rPr>
          <w:vertAlign w:val="superscript"/>
        </w:rPr>
        <w:footnoteReference w:id="35"/>
      </w:r>
    </w:p>
    <w:p>
      <w:pPr>
        <w:keepNext w:val="0"/>
      </w:pPr>
      <w:r>
        <w:rPr>
          <w:b/>
        </w:rPr>
        <w:t xml:space="preserve">Original context. </w:t>
      </w:r>
      <w:r>
        <w:t>The psalm marvels that the Creator gives frail humanity dignity and responsibility over creation.</w:t>
      </w:r>
    </w:p>
    <w:p>
      <w:pPr>
        <w:keepNext w:val="0"/>
      </w:pPr>
      <w:r>
        <w:rPr>
          <w:b/>
        </w:rPr>
        <w:t xml:space="preserve">Connection and explicitness. </w:t>
      </w:r>
      <w:r>
        <w:t>Hebrews explicitly quotes it, notes that full dominion is not yet visible and directs attention to Jesus, humbled through suffering and crowned with glory.</w:t>
      </w:r>
    </w:p>
    <w:p>
      <w:pPr>
        <w:keepNext w:val="0"/>
      </w:pPr>
      <w:r>
        <w:rPr>
          <w:b/>
        </w:rPr>
        <w:t xml:space="preserve">Language and text. </w:t>
      </w:r>
      <w:r>
        <w:t>Hebrew ʾelohim (אֱלֹהִים) and Greek angelous (ἀγγέλους) underlie the God/heavenly beings/angels difference. Hebrews follows angels wording.</w:t>
      </w:r>
    </w:p>
    <w:p>
      <w:pPr>
        <w:keepNext w:val="0"/>
      </w:pPr>
      <w:r>
        <w:rPr>
          <w:b/>
        </w:rPr>
        <w:t xml:space="preserve">Jewish and historical setting. </w:t>
      </w:r>
      <w:r>
        <w:t>Read this within Israel’s own narrative, worship or covenant life. No universal pre-Christian messianic consensus is asserted for this particular connection.</w:t>
      </w:r>
    </w:p>
    <w:p>
      <w:pPr>
        <w:keepNext w:val="0"/>
      </w:pPr>
      <w:r>
        <w:rPr>
          <w:b/>
        </w:rPr>
        <w:t xml:space="preserve">Assessment. </w:t>
      </w:r>
      <w:r>
        <w:t>The cited biblical argument is the primary evidence. The interpretation is bounded by the original setting and the stated counterargument, rather than by an assumed scholarly consensus.</w:t>
      </w:r>
    </w:p>
    <w:p>
      <w:pPr>
        <w:keepNext w:val="0"/>
      </w:pPr>
      <w:r>
        <w:rPr>
          <w:b/>
        </w:rPr>
        <w:t xml:space="preserve">Strongest counterargument. </w:t>
      </w:r>
      <w:r>
        <w:t>An exclusively predictive reading ignores the psalm’s concern for ordinary humanity and creation.</w:t>
      </w:r>
    </w:p>
    <w:p>
      <w:pPr>
        <w:keepNext w:val="0"/>
      </w:pPr>
      <w:r>
        <w:rPr>
          <w:b/>
        </w:rPr>
        <w:t xml:space="preserve">Conclusion and placement. </w:t>
      </w:r>
      <w:r>
        <w:t>Keep optional beside royal psalms, cross-referencing Adam without narrating Genesis again. Public priority: optional or research.</w:t>
      </w:r>
    </w:p>
    <w:p>
      <w:pPr>
        <w:pStyle w:val="Heading2"/>
      </w:pPr>
      <w:r>
        <w:t>C24 Psalm 16 and life beyond the grave</w:t>
      </w:r>
    </w:p>
    <w:p>
      <w:pPr>
        <w:keepNext/>
      </w:pPr>
      <w:r>
        <w:rPr>
          <w:i/>
        </w:rPr>
        <w:t>Royal narrative and Psalter | Messianic Prophecy | Explicit</w:t>
      </w:r>
    </w:p>
    <w:p>
      <w:pPr>
        <w:keepNext/>
      </w:pPr>
      <w:r>
        <w:rPr>
          <w:b/>
        </w:rPr>
        <w:t xml:space="preserve">Scripture. </w:t>
      </w:r>
      <w:r>
        <w:t>Psalm 16:8–11 → Acts 2:25–32; 13:35–37</w:t>
      </w:r>
      <w:r>
        <w:rPr>
          <w:vertAlign w:val="superscript"/>
        </w:rPr>
        <w:footnoteReference w:id="36"/>
      </w:r>
    </w:p>
    <w:p>
      <w:pPr>
        <w:keepNext w:val="0"/>
      </w:pPr>
      <w:r>
        <w:rPr>
          <w:b/>
        </w:rPr>
        <w:t xml:space="preserve">Original context. </w:t>
      </w:r>
      <w:r>
        <w:t>The psalmist expresses confidence in God’s protection, presence and path of life.</w:t>
      </w:r>
    </w:p>
    <w:p>
      <w:pPr>
        <w:keepNext w:val="0"/>
      </w:pPr>
      <w:r>
        <w:rPr>
          <w:b/>
        </w:rPr>
        <w:t xml:space="preserve">Connection and explicitness. </w:t>
      </w:r>
      <w:r>
        <w:t>Peter and Paul explicitly distinguish David’s death from Jesus’s resurrection and apply the psalm to the risen Christ.</w:t>
      </w:r>
    </w:p>
    <w:p>
      <w:pPr>
        <w:keepNext w:val="0"/>
      </w:pPr>
      <w:r>
        <w:rPr>
          <w:b/>
        </w:rPr>
        <w:t xml:space="preserve">Language and text. </w:t>
      </w:r>
      <w:r>
        <w:t>Sheol (שְׁאוֹל) concerns the realm of the dead. Greek corruption language is central to Acts’s argument; avoid assuming all English grave terms are exact synonyms.</w:t>
      </w:r>
    </w:p>
    <w:p>
      <w:pPr>
        <w:keepNext w:val="0"/>
      </w:pPr>
      <w:r>
        <w:rPr>
          <w:b/>
        </w:rPr>
        <w:t xml:space="preserve">Jewish and historical setting. </w:t>
      </w:r>
      <w:r>
        <w:t>Read this within Israel’s own narrative, worship or covenant life. No universal pre-Christian messianic consensus is asserted for this particular connection.</w:t>
      </w:r>
    </w:p>
    <w:p>
      <w:pPr>
        <w:keepNext w:val="0"/>
      </w:pPr>
      <w:r>
        <w:rPr>
          <w:b/>
        </w:rPr>
        <w:t xml:space="preserve">Assessment. </w:t>
      </w:r>
      <w:r>
        <w:t>The cited biblical argument is the primary evidence. The interpretation is bounded by the original setting and the stated counterargument, rather than by an assumed scholarly consensus.</w:t>
      </w:r>
    </w:p>
    <w:p>
      <w:pPr>
        <w:keepNext w:val="0"/>
      </w:pPr>
      <w:r>
        <w:rPr>
          <w:b/>
        </w:rPr>
        <w:t xml:space="preserve">Strongest counterargument. </w:t>
      </w:r>
      <w:r>
        <w:t>In its original setting the prayer can express preservation from death. The NT develops a resurrection application rather than merely repeating an obvious modern reading.</w:t>
      </w:r>
    </w:p>
    <w:p>
      <w:pPr>
        <w:keepNext w:val="0"/>
      </w:pPr>
      <w:r>
        <w:rPr>
          <w:b/>
        </w:rPr>
        <w:t xml:space="preserve">Conclusion and placement. </w:t>
      </w:r>
      <w:r>
        <w:t>Include the explicit apostolic reasoning and vindication in resurrection. Public priority: anchor.</w:t>
      </w:r>
    </w:p>
    <w:p>
      <w:pPr>
        <w:pStyle w:val="Heading2"/>
      </w:pPr>
      <w:r>
        <w:t>C25 Psalm 22 and the suffering righteous one</w:t>
      </w:r>
    </w:p>
    <w:p>
      <w:pPr>
        <w:keepNext/>
      </w:pPr>
      <w:r>
        <w:rPr>
          <w:i/>
        </w:rPr>
        <w:t>Royal narrative and Psalter | Canonical Pattern | Explicit</w:t>
      </w:r>
    </w:p>
    <w:p>
      <w:pPr>
        <w:keepNext/>
      </w:pPr>
      <w:r>
        <w:rPr>
          <w:b/>
        </w:rPr>
        <w:t xml:space="preserve">Scripture. </w:t>
      </w:r>
      <w:r>
        <w:t>Psalm 22 → Mark 15:24, 29–34; Matthew 27:35–46; John 19:23–24; Hebrews 2:12</w:t>
      </w:r>
      <w:r>
        <w:rPr>
          <w:vertAlign w:val="superscript"/>
        </w:rPr>
        <w:footnoteReference w:id="37"/>
      </w:r>
    </w:p>
    <w:p>
      <w:pPr>
        <w:keepNext w:val="0"/>
      </w:pPr>
      <w:r>
        <w:rPr>
          <w:b/>
        </w:rPr>
        <w:t xml:space="preserve">Original context. </w:t>
      </w:r>
      <w:r>
        <w:t>An afflicted worshiper describes abandonment and hostility, then praises God amid an expanding community.</w:t>
      </w:r>
    </w:p>
    <w:p>
      <w:pPr>
        <w:keepNext w:val="0"/>
      </w:pPr>
      <w:r>
        <w:rPr>
          <w:b/>
        </w:rPr>
        <w:t xml:space="preserve">Connection and explicitness. </w:t>
      </w:r>
      <w:r>
        <w:t>Jesus uses its opening; the passion narratives echo mockery and quote divided garments, while Hebrews applies its congregational praise to Christ. These connections are explicit, but verse 16 itself is not quoted in the NT.</w:t>
      </w:r>
    </w:p>
    <w:p>
      <w:pPr>
        <w:keepNext w:val="0"/>
      </w:pPr>
      <w:r>
        <w:rPr>
          <w:b/>
        </w:rPr>
        <w:t xml:space="preserve">Language and text. </w:t>
      </w:r>
      <w:r>
        <w:t>MT kaʾari (כָּאֲרִי), like a lion, differs from Greek ōryxan (ὤρυξαν), they dug. Manuscript readings and syntax are disputed; this is not an uncontested one-word proof of nails.</w:t>
      </w:r>
    </w:p>
    <w:p>
      <w:pPr>
        <w:keepNext w:val="0"/>
      </w:pPr>
      <w:r>
        <w:rPr>
          <w:b/>
        </w:rPr>
        <w:t xml:space="preserve">Jewish and historical setting. </w:t>
      </w:r>
      <w:r>
        <w:t>The psalm remains a Jewish prayer of suffering and rescue; its Christian use does not erase that voice.</w:t>
      </w:r>
    </w:p>
    <w:p>
      <w:pPr>
        <w:keepNext w:val="0"/>
      </w:pPr>
      <w:r>
        <w:rPr>
          <w:b/>
        </w:rPr>
        <w:t xml:space="preserve">Assessment. </w:t>
      </w:r>
      <w:r>
        <w:t>NET documents the textual question and the absence of an NT quotation of verse 16. The securely cited garment passage does not resolve this separate line.</w:t>
      </w:r>
      <w:r>
        <w:rPr>
          <w:vertAlign w:val="superscript"/>
        </w:rPr>
        <w:footnoteReference w:id="38"/>
      </w:r>
    </w:p>
    <w:p>
      <w:pPr>
        <w:keepNext w:val="0"/>
      </w:pPr>
      <w:r>
        <w:rPr>
          <w:b/>
        </w:rPr>
        <w:t xml:space="preserve">Strongest counterargument. </w:t>
      </w:r>
      <w:r>
        <w:t>A picture of crucifixion can make a disputed translation appear certain. A lament is not automatically a forensic execution report.</w:t>
      </w:r>
    </w:p>
    <w:p>
      <w:pPr>
        <w:keepNext w:val="0"/>
      </w:pPr>
      <w:r>
        <w:rPr>
          <w:b/>
        </w:rPr>
        <w:t xml:space="preserve">Conclusion and placement. </w:t>
      </w:r>
      <w:r>
        <w:t>Keep the full movement from lament to praise. Disclose the textual question alongside any mention of pierced hands and feet. Public priority: anchor.</w:t>
      </w:r>
    </w:p>
    <w:p>
      <w:pPr>
        <w:pStyle w:val="Heading2"/>
      </w:pPr>
      <w:r>
        <w:t>C26 Psalm 40 and obedient self offering</w:t>
      </w:r>
    </w:p>
    <w:p>
      <w:pPr>
        <w:keepNext/>
      </w:pPr>
      <w:r>
        <w:rPr>
          <w:i/>
        </w:rPr>
        <w:t>Royal narrative and Psalter | Canonical Pattern | Explicit</w:t>
      </w:r>
    </w:p>
    <w:p>
      <w:pPr>
        <w:keepNext/>
      </w:pPr>
      <w:r>
        <w:rPr>
          <w:b/>
        </w:rPr>
        <w:t xml:space="preserve">Scripture. </w:t>
      </w:r>
      <w:r>
        <w:t>Psalm 40:1–12 → Hebrews 10:5–10</w:t>
      </w:r>
      <w:r>
        <w:rPr>
          <w:vertAlign w:val="superscript"/>
        </w:rPr>
        <w:footnoteReference w:id="39"/>
      </w:r>
    </w:p>
    <w:p>
      <w:pPr>
        <w:keepNext w:val="0"/>
      </w:pPr>
      <w:r>
        <w:rPr>
          <w:b/>
        </w:rPr>
        <w:t xml:space="preserve">Original context. </w:t>
      </w:r>
      <w:r>
        <w:t>The psalmist thanks God for rescue and commits to obedience while acknowledging personal iniquities.</w:t>
      </w:r>
    </w:p>
    <w:p>
      <w:pPr>
        <w:keepNext w:val="0"/>
      </w:pPr>
      <w:r>
        <w:rPr>
          <w:b/>
        </w:rPr>
        <w:t xml:space="preserve">Connection and explicitness. </w:t>
      </w:r>
      <w:r>
        <w:t>Hebrews explicitly places the obedience words on Christ’s lips and interprets his embodied obedience and sacrifice.</w:t>
      </w:r>
    </w:p>
    <w:p>
      <w:pPr>
        <w:keepNext w:val="0"/>
      </w:pPr>
      <w:r>
        <w:rPr>
          <w:b/>
        </w:rPr>
        <w:t xml:space="preserve">Language and text. </w:t>
      </w:r>
      <w:r>
        <w:t>Hebrew speaks of ears opened or dug; Hebrews has sōma (σῶμα), body, prepared. The history of the Greek wording is more complex than a simple claim that every Greek witness agrees.</w:t>
      </w:r>
    </w:p>
    <w:p>
      <w:pPr>
        <w:keepNext w:val="0"/>
      </w:pPr>
      <w:r>
        <w:rPr>
          <w:b/>
        </w:rPr>
        <w:t xml:space="preserve">Jewish and historical setting. </w:t>
      </w:r>
      <w:r>
        <w:t>The psalm’s critique of ritual without obedience is internal to Israel’s worship, not a rejection of Judaism.</w:t>
      </w:r>
    </w:p>
    <w:p>
      <w:pPr>
        <w:keepNext w:val="0"/>
      </w:pPr>
      <w:r>
        <w:rPr>
          <w:b/>
        </w:rPr>
        <w:t xml:space="preserve">Assessment. </w:t>
      </w:r>
      <w:r>
        <w:t>Crowe defends a royal messianic reading and explains the ears/body relation through whole-person obedience, while acknowledging questions about the Greek textual history.</w:t>
      </w:r>
      <w:r>
        <w:rPr>
          <w:vertAlign w:val="superscript"/>
        </w:rPr>
        <w:footnoteReference w:id="40"/>
      </w:r>
    </w:p>
    <w:p>
      <w:pPr>
        <w:keepNext w:val="0"/>
      </w:pPr>
      <w:r>
        <w:rPr>
          <w:b/>
        </w:rPr>
        <w:t xml:space="preserve">Strongest counterargument. </w:t>
      </w:r>
      <w:r>
        <w:t>Psalm 40:12 mentions the speaker’s sins. Treating every word as Jesus’s direct autobiographical speech would attribute sin to him.</w:t>
      </w:r>
    </w:p>
    <w:p>
      <w:pPr>
        <w:keepNext w:val="0"/>
      </w:pPr>
      <w:r>
        <w:rPr>
          <w:b/>
        </w:rPr>
        <w:t xml:space="preserve">Conclusion and placement. </w:t>
      </w:r>
      <w:r>
        <w:t>Retain as optional depth, explaining the bounded application and textual difference. Public priority: optional or research.</w:t>
      </w:r>
    </w:p>
    <w:p>
      <w:pPr>
        <w:pStyle w:val="Heading2"/>
      </w:pPr>
      <w:r>
        <w:t>C27 Psalm 69 and costly faithfulness</w:t>
      </w:r>
    </w:p>
    <w:p>
      <w:pPr>
        <w:keepNext/>
      </w:pPr>
      <w:r>
        <w:rPr>
          <w:i/>
        </w:rPr>
        <w:t>Royal narrative and Psalter | Canonical Pattern | Explicit</w:t>
      </w:r>
    </w:p>
    <w:p>
      <w:pPr>
        <w:keepNext/>
      </w:pPr>
      <w:r>
        <w:rPr>
          <w:b/>
        </w:rPr>
        <w:t xml:space="preserve">Scripture. </w:t>
      </w:r>
      <w:r>
        <w:t>Psalm 69:4, 9, 21 → John 2:17; 15:25; Romans 15:3; John 19:28–29</w:t>
      </w:r>
      <w:r>
        <w:rPr>
          <w:vertAlign w:val="superscript"/>
        </w:rPr>
        <w:footnoteReference w:id="41"/>
      </w:r>
    </w:p>
    <w:p>
      <w:pPr>
        <w:keepNext w:val="0"/>
      </w:pPr>
      <w:r>
        <w:rPr>
          <w:b/>
        </w:rPr>
        <w:t xml:space="preserve">Original context. </w:t>
      </w:r>
      <w:r>
        <w:t>A threatened worshiper suffers reproach and pleads for rescue within a psalm that also acknowledges folly and contains judgment petitions.</w:t>
      </w:r>
    </w:p>
    <w:p>
      <w:pPr>
        <w:keepNext w:val="0"/>
      </w:pPr>
      <w:r>
        <w:rPr>
          <w:b/>
        </w:rPr>
        <w:t xml:space="preserve">Connection and explicitness. </w:t>
      </w:r>
      <w:r>
        <w:t>The NT explicitly applies its zeal, undeserved hatred and reproach language to Jesus, with passion resonances concerning sour wine.</w:t>
      </w:r>
    </w:p>
    <w:p>
      <w:pPr>
        <w:keepNext w:val="0"/>
      </w:pPr>
      <w:r>
        <w:rPr>
          <w:b/>
        </w:rPr>
        <w:t xml:space="preserve">Language and text. </w:t>
      </w:r>
      <w:r>
        <w:t>Individual quotations must be distinguished from the entire psalm. Shared vocabulary does not assign every petition to Jesus.</w:t>
      </w:r>
    </w:p>
    <w:p>
      <w:pPr>
        <w:keepNext w:val="0"/>
      </w:pPr>
      <w:r>
        <w:rPr>
          <w:b/>
        </w:rPr>
        <w:t xml:space="preserve">Jewish and historical setting. </w:t>
      </w:r>
      <w:r>
        <w:t>Read this within Israel’s own narrative, worship or covenant life. No universal pre-Christian messianic consensus is asserted for this particular connection.</w:t>
      </w:r>
    </w:p>
    <w:p>
      <w:pPr>
        <w:keepNext w:val="0"/>
      </w:pPr>
      <w:r>
        <w:rPr>
          <w:b/>
        </w:rPr>
        <w:t xml:space="preserve">Assessment. </w:t>
      </w:r>
      <w:r>
        <w:t>The cited biblical argument is the primary evidence. The interpretation is bounded by the original setting and the stated counterargument, rather than by an assumed scholarly consensus.</w:t>
      </w:r>
    </w:p>
    <w:p>
      <w:pPr>
        <w:keepNext w:val="0"/>
      </w:pPr>
      <w:r>
        <w:rPr>
          <w:b/>
        </w:rPr>
        <w:t xml:space="preserve">Strongest counterargument. </w:t>
      </w:r>
      <w:r>
        <w:t>A total autobiographical equation would ignore the speaker’s confessed folly and differences in setting.</w:t>
      </w:r>
    </w:p>
    <w:p>
      <w:pPr>
        <w:keepNext w:val="0"/>
      </w:pPr>
      <w:r>
        <w:rPr>
          <w:b/>
        </w:rPr>
        <w:t xml:space="preserve">Conclusion and placement. </w:t>
      </w:r>
      <w:r>
        <w:t>Keep as optional supporting evidence of costly faithfulness, with the limits of quotation clear. Public priority: optional or research.</w:t>
      </w:r>
    </w:p>
    <w:p>
      <w:pPr>
        <w:pStyle w:val="Heading2"/>
      </w:pPr>
      <w:r>
        <w:t>C28 Psalm 110 and the royal priest</w:t>
      </w:r>
    </w:p>
    <w:p>
      <w:pPr>
        <w:keepNext/>
      </w:pPr>
      <w:r>
        <w:rPr>
          <w:i/>
        </w:rPr>
        <w:t>Royal narrative and Psalter | Messianic Prophecy | Explicit</w:t>
      </w:r>
    </w:p>
    <w:p>
      <w:pPr>
        <w:keepNext/>
      </w:pPr>
      <w:r>
        <w:rPr>
          <w:b/>
        </w:rPr>
        <w:t xml:space="preserve">Scripture. </w:t>
      </w:r>
      <w:r>
        <w:t>Psalm 110:1–4 → Mark 12:35–37; Acts 2:34–36; Hebrews 5–7</w:t>
      </w:r>
      <w:r>
        <w:rPr>
          <w:vertAlign w:val="superscript"/>
        </w:rPr>
        <w:footnoteReference w:id="42"/>
      </w:r>
    </w:p>
    <w:p>
      <w:pPr>
        <w:keepNext w:val="0"/>
      </w:pPr>
      <w:r>
        <w:rPr>
          <w:b/>
        </w:rPr>
        <w:t xml:space="preserve">Original context. </w:t>
      </w:r>
      <w:r>
        <w:t>A royal oracle speaks of the Lord’s appointed ruler, victory and enduring priesthood.</w:t>
      </w:r>
    </w:p>
    <w:p>
      <w:pPr>
        <w:keepNext w:val="0"/>
      </w:pPr>
      <w:r>
        <w:rPr>
          <w:b/>
        </w:rPr>
        <w:t xml:space="preserve">Connection and explicitness. </w:t>
      </w:r>
      <w:r>
        <w:t>Jesus invokes David’s Lord; Acts applies enthronement to the risen Jesus, and Hebrews develops the priesthood oath. The NT connections are explicit.</w:t>
      </w:r>
    </w:p>
    <w:p>
      <w:pPr>
        <w:keepNext w:val="0"/>
      </w:pPr>
      <w:r>
        <w:rPr>
          <w:b/>
        </w:rPr>
        <w:t xml:space="preserve">Language and text. </w:t>
      </w:r>
      <w:r>
        <w:t>The Hebrew distinction between the divine name and my lord matters. It is the passage’s argument and NT application, not a mechanically identical English Lord, that establish the connection.</w:t>
      </w:r>
    </w:p>
    <w:p>
      <w:pPr>
        <w:keepNext w:val="0"/>
      </w:pPr>
      <w:r>
        <w:rPr>
          <w:b/>
        </w:rPr>
        <w:t xml:space="preserve">Jewish and historical setting. </w:t>
      </w:r>
      <w:r>
        <w:t>Read this within Israel’s own narrative, worship or covenant life. No universal pre-Christian messianic consensus is asserted for this particular connection.</w:t>
      </w:r>
    </w:p>
    <w:p>
      <w:pPr>
        <w:keepNext w:val="0"/>
      </w:pPr>
      <w:r>
        <w:rPr>
          <w:b/>
        </w:rPr>
        <w:t xml:space="preserve">Assessment. </w:t>
      </w:r>
      <w:r>
        <w:t>The cited biblical argument is the primary evidence. The interpretation is bounded by the original setting and the stated counterargument, rather than by an assumed scholarly consensus.</w:t>
      </w:r>
    </w:p>
    <w:p>
      <w:pPr>
        <w:keepNext w:val="0"/>
      </w:pPr>
      <w:r>
        <w:rPr>
          <w:b/>
        </w:rPr>
        <w:t xml:space="preserve">Strongest counterargument. </w:t>
      </w:r>
      <w:r>
        <w:t>The precise original royal setting is debated. A single title cannot carry the full doctrine apart from the NT’s use.</w:t>
      </w:r>
    </w:p>
    <w:p>
      <w:pPr>
        <w:keepNext w:val="0"/>
      </w:pPr>
      <w:r>
        <w:rPr>
          <w:b/>
        </w:rPr>
        <w:t xml:space="preserve">Conclusion and placement. </w:t>
      </w:r>
      <w:r>
        <w:t>Make this a major encounter joining kingship and priesthood. Cross-reference Melchizedek without replaying Genesis 14. Public priority: anchor.</w:t>
      </w:r>
    </w:p>
    <w:p>
      <w:pPr>
        <w:pStyle w:val="Heading2"/>
      </w:pPr>
      <w:r>
        <w:t>C29 Psalm 118 and the rejected stone</w:t>
      </w:r>
    </w:p>
    <w:p>
      <w:pPr>
        <w:keepNext/>
      </w:pPr>
      <w:r>
        <w:rPr>
          <w:i/>
        </w:rPr>
        <w:t>Royal narrative and Psalter | Canonical Pattern | Explicit</w:t>
      </w:r>
    </w:p>
    <w:p>
      <w:pPr>
        <w:keepNext/>
      </w:pPr>
      <w:r>
        <w:rPr>
          <w:b/>
        </w:rPr>
        <w:t xml:space="preserve">Scripture. </w:t>
      </w:r>
      <w:r>
        <w:t>Psalm 118:19–29 → Mark 12:10–11; Matthew 21:9, 42; Acts 4:10–12; 1 Peter 2:4–7</w:t>
      </w:r>
      <w:r>
        <w:rPr>
          <w:vertAlign w:val="superscript"/>
        </w:rPr>
        <w:footnoteReference w:id="43"/>
      </w:r>
    </w:p>
    <w:p>
      <w:pPr>
        <w:keepNext w:val="0"/>
      </w:pPr>
      <w:r>
        <w:rPr>
          <w:b/>
        </w:rPr>
        <w:t xml:space="preserve">Original context. </w:t>
      </w:r>
      <w:r>
        <w:t>A thanksgiving song celebrates deliverance, entry, blessing and a rejected stone raised to honour.</w:t>
      </w:r>
    </w:p>
    <w:p>
      <w:pPr>
        <w:keepNext w:val="0"/>
      </w:pPr>
      <w:r>
        <w:rPr>
          <w:b/>
        </w:rPr>
        <w:t xml:space="preserve">Connection and explicitness. </w:t>
      </w:r>
      <w:r>
        <w:t>Jesus and the apostles explicitly apply the rejected-and-vindicated stone to him; the entry narratives use the blessing language.</w:t>
      </w:r>
    </w:p>
    <w:p>
      <w:pPr>
        <w:keepNext w:val="0"/>
      </w:pPr>
      <w:r>
        <w:rPr>
          <w:b/>
        </w:rPr>
        <w:t xml:space="preserve">Language and text. </w:t>
      </w:r>
      <w:r>
        <w:t>Head of the corner or cornerstone language establishes honoured foundational importance. The precise architectural picture need not be resolved to understand the argument.</w:t>
      </w:r>
    </w:p>
    <w:p>
      <w:pPr>
        <w:keepNext w:val="0"/>
      </w:pPr>
      <w:r>
        <w:rPr>
          <w:b/>
        </w:rPr>
        <w:t xml:space="preserve">Jewish and historical setting. </w:t>
      </w:r>
      <w:r>
        <w:t>Read this within Israel’s own narrative, worship or covenant life. No universal pre-Christian messianic consensus is asserted for this particular connection.</w:t>
      </w:r>
    </w:p>
    <w:p>
      <w:pPr>
        <w:keepNext w:val="0"/>
      </w:pPr>
      <w:r>
        <w:rPr>
          <w:b/>
        </w:rPr>
        <w:t xml:space="preserve">Assessment. </w:t>
      </w:r>
      <w:r>
        <w:t>The cited biblical argument is the primary evidence. The interpretation is bounded by the original setting and the stated counterargument, rather than by an assumed scholarly consensus.</w:t>
      </w:r>
    </w:p>
    <w:p>
      <w:pPr>
        <w:keepNext w:val="0"/>
      </w:pPr>
      <w:r>
        <w:rPr>
          <w:b/>
        </w:rPr>
        <w:t xml:space="preserve">Strongest counterargument. </w:t>
      </w:r>
      <w:r>
        <w:t>A general thanksgiving setting and uncertain original identity prevent treating every line as a direct future itinerary.</w:t>
      </w:r>
    </w:p>
    <w:p>
      <w:pPr>
        <w:keepNext w:val="0"/>
      </w:pPr>
      <w:r>
        <w:rPr>
          <w:b/>
        </w:rPr>
        <w:t xml:space="preserve">Conclusion and placement. </w:t>
      </w:r>
      <w:r>
        <w:t>Include rejection followed by vindication. Keep Isaiah’s separate stone texts in C51 with cross-reference. Public priority: short connection.</w:t>
      </w:r>
    </w:p>
    <w:p>
      <w:pPr>
        <w:pStyle w:val="Heading2"/>
      </w:pPr>
      <w:r>
        <w:t>C30 Jonah and the sign of rescue</w:t>
      </w:r>
    </w:p>
    <w:p>
      <w:pPr>
        <w:keepNext/>
      </w:pPr>
      <w:r>
        <w:rPr>
          <w:i/>
        </w:rPr>
        <w:t>Divided monarchy and prophetic ministry | Type / Foreshadowing | Explicit</w:t>
      </w:r>
    </w:p>
    <w:p>
      <w:pPr>
        <w:keepNext/>
      </w:pPr>
      <w:r>
        <w:rPr>
          <w:b/>
        </w:rPr>
        <w:t xml:space="preserve">Scripture. </w:t>
      </w:r>
      <w:r>
        <w:t>Jonah 1:17–2:10; 3–4 → Matthew 12:38–42; Luke 11:29–32</w:t>
      </w:r>
      <w:r>
        <w:rPr>
          <w:vertAlign w:val="superscript"/>
        </w:rPr>
        <w:footnoteReference w:id="44"/>
      </w:r>
    </w:p>
    <w:p>
      <w:pPr>
        <w:keepNext w:val="0"/>
      </w:pPr>
      <w:r>
        <w:rPr>
          <w:b/>
        </w:rPr>
        <w:t xml:space="preserve">Original context. </w:t>
      </w:r>
      <w:r>
        <w:t>A disobedient prophet is rescued from death-like distress and sent to Nineveh, whose repentance exposes his resistance to mercy.</w:t>
      </w:r>
    </w:p>
    <w:p>
      <w:pPr>
        <w:keepNext w:val="0"/>
      </w:pPr>
      <w:r>
        <w:rPr>
          <w:b/>
        </w:rPr>
        <w:t xml:space="preserve">Connection and explicitness. </w:t>
      </w:r>
      <w:r>
        <w:t>Jesus explicitly compares Jonah’s period in the fish with his own burial and also invokes the Ninevites’ response. He is greater than Jonah.</w:t>
      </w:r>
    </w:p>
    <w:p>
      <w:pPr>
        <w:keepNext w:val="0"/>
      </w:pPr>
      <w:r>
        <w:rPr>
          <w:b/>
        </w:rPr>
        <w:t xml:space="preserve">Language and text. </w:t>
      </w:r>
      <w:r>
        <w:t>Three days and nights belongs to the Gospel comparison. It should not be used here to settle every passion-chronology dispute. Jonah’s Sheol language expresses mortal distress.</w:t>
      </w:r>
    </w:p>
    <w:p>
      <w:pPr>
        <w:keepNext w:val="0"/>
      </w:pPr>
      <w:r>
        <w:rPr>
          <w:b/>
        </w:rPr>
        <w:t xml:space="preserve">Jewish and historical setting. </w:t>
      </w:r>
      <w:r>
        <w:t>Read this within Israel’s own narrative, worship or covenant life. No universal pre-Christian messianic consensus is asserted for this particular connection.</w:t>
      </w:r>
    </w:p>
    <w:p>
      <w:pPr>
        <w:keepNext w:val="0"/>
      </w:pPr>
      <w:r>
        <w:rPr>
          <w:b/>
        </w:rPr>
        <w:t xml:space="preserve">Assessment. </w:t>
      </w:r>
      <w:r>
        <w:t>The cited biblical argument is the primary evidence. The interpretation is bounded by the original setting and the stated counterargument, rather than by an assumed scholarly consensus.</w:t>
      </w:r>
    </w:p>
    <w:p>
      <w:pPr>
        <w:keepNext w:val="0"/>
      </w:pPr>
      <w:r>
        <w:rPr>
          <w:b/>
        </w:rPr>
        <w:t xml:space="preserve">Strongest counterargument. </w:t>
      </w:r>
      <w:r>
        <w:t>The narrative never explicitly reports Jonah’s death, and his moral failure cannot be transferred to Christ.</w:t>
      </w:r>
    </w:p>
    <w:p>
      <w:pPr>
        <w:keepNext w:val="0"/>
      </w:pPr>
      <w:r>
        <w:rPr>
          <w:b/>
        </w:rPr>
        <w:t xml:space="preserve">Conclusion and placement. </w:t>
      </w:r>
      <w:r>
        <w:t>Include the explicit sign and the call to respond. Do not insist that Jonah physically died and rose. Public priority: anchor.</w:t>
      </w:r>
    </w:p>
    <w:p>
      <w:pPr>
        <w:pStyle w:val="Heading2"/>
      </w:pPr>
      <w:r>
        <w:t>C52 David s fallen house and the nations</w:t>
      </w:r>
    </w:p>
    <w:p>
      <w:pPr>
        <w:keepNext/>
      </w:pPr>
      <w:r>
        <w:rPr>
          <w:i/>
        </w:rPr>
        <w:t>Divided monarchy and prophetic ministry | Promise | Explicit</w:t>
      </w:r>
    </w:p>
    <w:p>
      <w:pPr>
        <w:keepNext/>
      </w:pPr>
      <w:r>
        <w:rPr>
          <w:b/>
        </w:rPr>
        <w:t xml:space="preserve">Scripture. </w:t>
      </w:r>
      <w:r>
        <w:t>Amos 9:7–15 → Acts 15:13–21</w:t>
      </w:r>
      <w:r>
        <w:rPr>
          <w:vertAlign w:val="superscript"/>
        </w:rPr>
        <w:footnoteReference w:id="45"/>
      </w:r>
    </w:p>
    <w:p>
      <w:pPr>
        <w:keepNext w:val="0"/>
      </w:pPr>
      <w:r>
        <w:rPr>
          <w:b/>
        </w:rPr>
        <w:t xml:space="preserve">Original context. </w:t>
      </w:r>
      <w:r>
        <w:t>After judgment, restoration includes David’s fallen dwelling, land and renewed abundance.</w:t>
      </w:r>
    </w:p>
    <w:p>
      <w:pPr>
        <w:keepNext w:val="0"/>
      </w:pPr>
      <w:r>
        <w:rPr>
          <w:b/>
        </w:rPr>
        <w:t xml:space="preserve">Connection and explicitness. </w:t>
      </w:r>
      <w:r>
        <w:t>James explicitly quotes Amos to support Gentiles turning to God through the Lord Jesus. The connection concerns messianic restoration and inclusion, not Jesus’s physical appearance.</w:t>
      </w:r>
    </w:p>
    <w:p>
      <w:pPr>
        <w:keepNext w:val="0"/>
      </w:pPr>
      <w:r>
        <w:rPr>
          <w:b/>
        </w:rPr>
        <w:t xml:space="preserve">Language and text. </w:t>
      </w:r>
      <w:r>
        <w:t>Hebrew speaks of possessing Edom’s remnant; the Greek form reflected in Acts speaks of humanity’s remnant seeking. This is a real textual difference, not two identical English quotations.</w:t>
      </w:r>
    </w:p>
    <w:p>
      <w:pPr>
        <w:keepNext w:val="0"/>
      </w:pPr>
      <w:r>
        <w:rPr>
          <w:b/>
        </w:rPr>
        <w:t xml:space="preserve">Jewish and historical setting. </w:t>
      </w:r>
      <w:r>
        <w:t>Read this within Israel’s own narrative, worship or covenant life. No universal pre-Christian messianic consensus is asserted for this particular connection.</w:t>
      </w:r>
    </w:p>
    <w:p>
      <w:pPr>
        <w:keepNext w:val="0"/>
      </w:pPr>
      <w:r>
        <w:rPr>
          <w:b/>
        </w:rPr>
        <w:t xml:space="preserve">Assessment. </w:t>
      </w:r>
      <w:r>
        <w:t>The cited biblical argument is the primary evidence. The interpretation is bounded by the original setting and the stated counterargument, rather than by an assumed scholarly consensus.</w:t>
      </w:r>
    </w:p>
    <w:p>
      <w:pPr>
        <w:keepNext w:val="0"/>
      </w:pPr>
      <w:r>
        <w:rPr>
          <w:b/>
        </w:rPr>
        <w:t xml:space="preserve">Strongest counterargument. </w:t>
      </w:r>
      <w:r>
        <w:t>A mission application must not silently erase the oracle’s land and restoration horizon or claim to settle every Israel question.</w:t>
      </w:r>
    </w:p>
    <w:p>
      <w:pPr>
        <w:keepNext w:val="0"/>
      </w:pPr>
      <w:r>
        <w:rPr>
          <w:b/>
        </w:rPr>
        <w:t xml:space="preserve">Conclusion and placement. </w:t>
      </w:r>
      <w:r>
        <w:t>Retain optional support for Davidic hope and the nations. Explain the textual difference if both passages are displayed. Public priority: optional or research.</w:t>
      </w:r>
    </w:p>
    <w:p>
      <w:pPr>
        <w:pStyle w:val="Heading2"/>
      </w:pPr>
      <w:r>
        <w:t>C50 Isaiah sees the Lord s glory</w:t>
      </w:r>
    </w:p>
    <w:p>
      <w:pPr>
        <w:keepNext/>
      </w:pPr>
      <w:r>
        <w:rPr>
          <w:i/>
        </w:rPr>
        <w:t>Divided monarchy and prophetic ministry | Canonical Pattern | Explicit</w:t>
      </w:r>
    </w:p>
    <w:p>
      <w:pPr>
        <w:keepNext/>
      </w:pPr>
      <w:r>
        <w:rPr>
          <w:b/>
        </w:rPr>
        <w:t xml:space="preserve">Scripture. </w:t>
      </w:r>
      <w:r>
        <w:t>Isaiah 6:1–13 → John 12:37–43</w:t>
      </w:r>
      <w:r>
        <w:rPr>
          <w:vertAlign w:val="superscript"/>
        </w:rPr>
        <w:footnoteReference w:id="46"/>
      </w:r>
    </w:p>
    <w:p>
      <w:pPr>
        <w:keepNext w:val="0"/>
      </w:pPr>
      <w:r>
        <w:rPr>
          <w:b/>
        </w:rPr>
        <w:t xml:space="preserve">Original context. </w:t>
      </w:r>
      <w:r>
        <w:t>Isaiah sees the Lord enthroned, confesses impurity, receives cleansing and is commissioned amid resistance.</w:t>
      </w:r>
    </w:p>
    <w:p>
      <w:pPr>
        <w:keepNext w:val="0"/>
      </w:pPr>
      <w:r>
        <w:rPr>
          <w:b/>
        </w:rPr>
        <w:t xml:space="preserve">Connection and explicitness. </w:t>
      </w:r>
      <w:r>
        <w:t>After quoting Isaiah 53 and Isaiah 6, John explicitly relates Isaiah’s seeing glory and speaking to Jesus.</w:t>
      </w:r>
    </w:p>
    <w:p>
      <w:pPr>
        <w:keepNext w:val="0"/>
      </w:pPr>
      <w:r>
        <w:rPr>
          <w:b/>
        </w:rPr>
        <w:t xml:space="preserve">Language and text. </w:t>
      </w:r>
      <w:r>
        <w:t>Doxa (δόξα), glory, belongs to John’s wider revelation and cross language. The combined Isaiah quotations should not disappear behind an isolated pronoun.</w:t>
      </w:r>
    </w:p>
    <w:p>
      <w:pPr>
        <w:keepNext w:val="0"/>
      </w:pPr>
      <w:r>
        <w:rPr>
          <w:b/>
        </w:rPr>
        <w:t xml:space="preserve">Jewish and historical setting. </w:t>
      </w:r>
      <w:r>
        <w:t>Read this within Israel’s own narrative, worship or covenant life. No universal pre-Christian messianic consensus is asserted for this particular connection.</w:t>
      </w:r>
    </w:p>
    <w:p>
      <w:pPr>
        <w:keepNext w:val="0"/>
      </w:pPr>
      <w:r>
        <w:rPr>
          <w:b/>
        </w:rPr>
        <w:t xml:space="preserve">Assessment. </w:t>
      </w:r>
      <w:r>
        <w:t>The cited biblical argument is the primary evidence. The interpretation is bounded by the original setting and the stated counterargument, rather than by an assumed scholarly consensus.</w:t>
      </w:r>
    </w:p>
    <w:p>
      <w:pPr>
        <w:keepNext w:val="0"/>
      </w:pPr>
      <w:r>
        <w:rPr>
          <w:b/>
        </w:rPr>
        <w:t xml:space="preserve">Strongest counterargument. </w:t>
      </w:r>
      <w:r>
        <w:t>A detailed claim about exactly how Isaiah perceived the Trinity exceeds John’s brief statement.</w:t>
      </w:r>
    </w:p>
    <w:p>
      <w:pPr>
        <w:keepNext w:val="0"/>
      </w:pPr>
      <w:r>
        <w:rPr>
          <w:b/>
        </w:rPr>
        <w:t xml:space="preserve">Conclusion and placement. </w:t>
      </w:r>
      <w:r>
        <w:t>Retain optional evidence of Christ’s glory without presenting a literal artistic portrait as historical certainty. Public priority: optional or research.</w:t>
      </w:r>
    </w:p>
    <w:p>
      <w:pPr>
        <w:pStyle w:val="Heading2"/>
      </w:pPr>
      <w:r>
        <w:t>C31 Isaiah s sign of Immanuel</w:t>
      </w:r>
    </w:p>
    <w:p>
      <w:pPr>
        <w:keepNext/>
      </w:pPr>
      <w:r>
        <w:rPr>
          <w:i/>
        </w:rPr>
        <w:t>Divided monarchy and prophetic ministry | Messianic Prophecy | Explicit</w:t>
      </w:r>
    </w:p>
    <w:p>
      <w:pPr>
        <w:keepNext/>
      </w:pPr>
      <w:r>
        <w:rPr>
          <w:b/>
        </w:rPr>
        <w:t xml:space="preserve">Scripture. </w:t>
      </w:r>
      <w:r>
        <w:t>Isaiah 7:1–17 → Matthew 1:18–25</w:t>
      </w:r>
      <w:r>
        <w:rPr>
          <w:vertAlign w:val="superscript"/>
        </w:rPr>
        <w:footnoteReference w:id="47"/>
      </w:r>
    </w:p>
    <w:p>
      <w:pPr>
        <w:keepNext w:val="0"/>
      </w:pPr>
      <w:r>
        <w:rPr>
          <w:b/>
        </w:rPr>
        <w:t xml:space="preserve">Original context. </w:t>
      </w:r>
      <w:r>
        <w:t>The sign addresses Ahaz during a political crisis and includes a near-term horizon involving the threatening kings.</w:t>
      </w:r>
    </w:p>
    <w:p>
      <w:pPr>
        <w:keepNext w:val="0"/>
      </w:pPr>
      <w:r>
        <w:rPr>
          <w:b/>
        </w:rPr>
        <w:t xml:space="preserve">Connection and explicitness. </w:t>
      </w:r>
      <w:r>
        <w:t>Matthew explicitly applies the passage to Jesus’s virgin conception. The NT identification is secure within the Christian canon; the complete relation to the initial sign remains debated.</w:t>
      </w:r>
    </w:p>
    <w:p>
      <w:pPr>
        <w:keepNext w:val="0"/>
      </w:pPr>
      <w:r>
        <w:rPr>
          <w:b/>
        </w:rPr>
        <w:t xml:space="preserve">Language and text. </w:t>
      </w:r>
      <w:r>
        <w:t>ʿAlmah (עַלְמָה) means a young woman; Greek parthenos (παρθένος) is the term used in Matthew’s virgin-conception context. A Hebrew dictionary alone does not prove that original hearers could only understand a virgin birth.</w:t>
      </w:r>
    </w:p>
    <w:p>
      <w:pPr>
        <w:keepNext w:val="0"/>
      </w:pPr>
      <w:r>
        <w:rPr>
          <w:b/>
        </w:rPr>
        <w:t xml:space="preserve">Jewish and historical setting. </w:t>
      </w:r>
      <w:r>
        <w:t>The sign belongs to Judah’s history. A Christian reading must demonstrate Matthew’s application rather than caricature alternative Jewish readings.</w:t>
      </w:r>
    </w:p>
    <w:p>
      <w:pPr>
        <w:keepNext w:val="0"/>
      </w:pPr>
      <w:r>
        <w:rPr>
          <w:b/>
        </w:rPr>
        <w:t xml:space="preserve">Assessment. </w:t>
      </w:r>
      <w:r>
        <w:t>NET discusses the lexical and contextual difficulty. The conclusion about Jesus rests on Matthew’s narrative and application, not an overstated Hebrew gloss.</w:t>
      </w:r>
      <w:r>
        <w:rPr>
          <w:vertAlign w:val="superscript"/>
        </w:rPr>
        <w:footnoteReference w:id="48"/>
      </w:r>
    </w:p>
    <w:p>
      <w:pPr>
        <w:keepNext w:val="0"/>
      </w:pPr>
      <w:r>
        <w:rPr>
          <w:b/>
        </w:rPr>
        <w:t xml:space="preserve">Strongest counterargument. </w:t>
      </w:r>
      <w:r>
        <w:t>Ignoring the political setting makes the sign unintelligible to Ahaz. Immediate and fuller-fulfillment readings require careful distinction.</w:t>
      </w:r>
    </w:p>
    <w:p>
      <w:pPr>
        <w:keepNext w:val="0"/>
      </w:pPr>
      <w:r>
        <w:rPr>
          <w:b/>
        </w:rPr>
        <w:t xml:space="preserve">Conclusion and placement. </w:t>
      </w:r>
      <w:r>
        <w:t>Include Matthew’s application with a concise language and original-context qualification. Public priority: short connection.</w:t>
      </w:r>
    </w:p>
    <w:p>
      <w:pPr>
        <w:pStyle w:val="Heading2"/>
      </w:pPr>
      <w:r>
        <w:t>C51 The stone that becomes a stumbling place</w:t>
      </w:r>
    </w:p>
    <w:p>
      <w:pPr>
        <w:keepNext/>
      </w:pPr>
      <w:r>
        <w:rPr>
          <w:i/>
        </w:rPr>
        <w:t>Divided monarchy and prophetic ministry | Canonical Pattern | Explicit</w:t>
      </w:r>
    </w:p>
    <w:p>
      <w:pPr>
        <w:keepNext/>
      </w:pPr>
      <w:r>
        <w:rPr>
          <w:b/>
        </w:rPr>
        <w:t xml:space="preserve">Scripture. </w:t>
      </w:r>
      <w:r>
        <w:t>Isaiah 8:11–15; 28:14–18 → Romans 9:30–33; 1 Peter 2:4–8</w:t>
      </w:r>
      <w:r>
        <w:rPr>
          <w:vertAlign w:val="superscript"/>
        </w:rPr>
        <w:footnoteReference w:id="49"/>
      </w:r>
    </w:p>
    <w:p>
      <w:pPr>
        <w:keepNext w:val="0"/>
      </w:pPr>
      <w:r>
        <w:rPr>
          <w:b/>
        </w:rPr>
        <w:t xml:space="preserve">Original context. </w:t>
      </w:r>
      <w:r>
        <w:t>Isaiah contrasts trust with fear and false security. The Lord is sanctuary or stumbling stone; a later oracle promises a secure Zion foundation.</w:t>
      </w:r>
    </w:p>
    <w:p>
      <w:pPr>
        <w:keepNext w:val="0"/>
      </w:pPr>
      <w:r>
        <w:rPr>
          <w:b/>
        </w:rPr>
        <w:t xml:space="preserve">Connection and explicitness. </w:t>
      </w:r>
      <w:r>
        <w:t>Paul and Peter explicitly combine these passages around the response to Christ, alongside Psalm 118.</w:t>
      </w:r>
    </w:p>
    <w:p>
      <w:pPr>
        <w:keepNext w:val="0"/>
      </w:pPr>
      <w:r>
        <w:rPr>
          <w:b/>
        </w:rPr>
        <w:t xml:space="preserve">Language and text. </w:t>
      </w:r>
      <w:r>
        <w:t>Shared stone wording supports combination but does not make the passages’ original occasions identical.</w:t>
      </w:r>
    </w:p>
    <w:p>
      <w:pPr>
        <w:keepNext w:val="0"/>
      </w:pPr>
      <w:r>
        <w:rPr>
          <w:b/>
        </w:rPr>
        <w:t xml:space="preserve">Jewish and historical setting. </w:t>
      </w:r>
      <w:r>
        <w:t>Read this within Israel’s own narrative, worship or covenant life. No universal pre-Christian messianic consensus is asserted for this particular connection.</w:t>
      </w:r>
    </w:p>
    <w:p>
      <w:pPr>
        <w:keepNext w:val="0"/>
      </w:pPr>
      <w:r>
        <w:rPr>
          <w:b/>
        </w:rPr>
        <w:t xml:space="preserve">Assessment. </w:t>
      </w:r>
      <w:r>
        <w:t>The cited biblical argument is the primary evidence. The interpretation is bounded by the original setting and the stated counterargument, rather than by an assumed scholarly consensus.</w:t>
      </w:r>
    </w:p>
    <w:p>
      <w:pPr>
        <w:keepNext w:val="0"/>
      </w:pPr>
      <w:r>
        <w:rPr>
          <w:b/>
        </w:rPr>
        <w:t xml:space="preserve">Strongest counterargument. </w:t>
      </w:r>
      <w:r>
        <w:t>The NT’s combined use is not evidence that Isaiah’s two oracles initially described the same event.</w:t>
      </w:r>
    </w:p>
    <w:p>
      <w:pPr>
        <w:keepNext w:val="0"/>
      </w:pPr>
      <w:r>
        <w:rPr>
          <w:b/>
        </w:rPr>
        <w:t xml:space="preserve">Conclusion and placement. </w:t>
      </w:r>
      <w:r>
        <w:t>Keep optional Isaiah depth. Psalm 118 remains C29, not a duplicate entry or a second copy of this explanation. Public priority: optional or research.</w:t>
      </w:r>
    </w:p>
    <w:p>
      <w:pPr>
        <w:pStyle w:val="Heading2"/>
      </w:pPr>
      <w:r>
        <w:t>C32 Light in Galilee and the royal child</w:t>
      </w:r>
    </w:p>
    <w:p>
      <w:pPr>
        <w:keepNext/>
      </w:pPr>
      <w:r>
        <w:rPr>
          <w:i/>
        </w:rPr>
        <w:t>Divided monarchy and prophetic ministry | Messianic Prophecy | Explicit</w:t>
      </w:r>
    </w:p>
    <w:p>
      <w:pPr>
        <w:keepNext/>
      </w:pPr>
      <w:r>
        <w:rPr>
          <w:b/>
        </w:rPr>
        <w:t xml:space="preserve">Scripture. </w:t>
      </w:r>
      <w:r>
        <w:t>Isaiah 9:1–7 → Matthew 4:12–17; Luke 1:32–33 as related royal language</w:t>
      </w:r>
      <w:r>
        <w:rPr>
          <w:vertAlign w:val="superscript"/>
        </w:rPr>
        <w:footnoteReference w:id="50"/>
      </w:r>
    </w:p>
    <w:p>
      <w:pPr>
        <w:keepNext w:val="0"/>
      </w:pPr>
      <w:r>
        <w:rPr>
          <w:b/>
        </w:rPr>
        <w:t xml:space="preserve">Original context. </w:t>
      </w:r>
      <w:r>
        <w:t>A people under oppression receive a promise of light and Davidic rule characterized by justice and peace.</w:t>
      </w:r>
    </w:p>
    <w:p>
      <w:pPr>
        <w:keepNext w:val="0"/>
      </w:pPr>
      <w:r>
        <w:rPr>
          <w:b/>
        </w:rPr>
        <w:t xml:space="preserve">Connection and explicitness. </w:t>
      </w:r>
      <w:r>
        <w:t>Matthew explicitly applies the Galilee light passage, verses 1–2, to Jesus’s ministry. The connection of the royal child language with Christ is broader canonical interpretation, not a quotation of verses 6–7 by Matthew.</w:t>
      </w:r>
    </w:p>
    <w:p>
      <w:pPr>
        <w:keepNext w:val="0"/>
      </w:pPr>
      <w:r>
        <w:rPr>
          <w:b/>
        </w:rPr>
        <w:t xml:space="preserve">Language and text. </w:t>
      </w:r>
      <w:r>
        <w:t>Hebrew royal names and titles require contextual interpretation. The title forms should not become isolated lexical proofs detached from kingship.</w:t>
      </w:r>
    </w:p>
    <w:p>
      <w:pPr>
        <w:keepNext w:val="0"/>
      </w:pPr>
      <w:r>
        <w:rPr>
          <w:b/>
        </w:rPr>
        <w:t xml:space="preserve">Jewish and historical setting. </w:t>
      </w:r>
      <w:r>
        <w:t>Read this within Israel’s own narrative, worship or covenant life. No universal pre-Christian messianic consensus is asserted for this particular connection.</w:t>
      </w:r>
    </w:p>
    <w:p>
      <w:pPr>
        <w:keepNext w:val="0"/>
      </w:pPr>
      <w:r>
        <w:rPr>
          <w:b/>
        </w:rPr>
        <w:t xml:space="preserve">Assessment. </w:t>
      </w:r>
      <w:r>
        <w:t>The cited biblical argument is the primary evidence. The interpretation is bounded by the original setting and the stated counterargument, rather than by an assumed scholarly consensus.</w:t>
      </w:r>
    </w:p>
    <w:p>
      <w:pPr>
        <w:keepNext w:val="0"/>
      </w:pPr>
      <w:r>
        <w:rPr>
          <w:b/>
        </w:rPr>
        <w:t xml:space="preserve">Strongest counterargument. </w:t>
      </w:r>
      <w:r>
        <w:t>A historically grounded royal reading is possible. The Explicit badge applies to the quoted light passage, not every debated claim about the child oracle.</w:t>
      </w:r>
    </w:p>
    <w:p>
      <w:pPr>
        <w:keepNext w:val="0"/>
      </w:pPr>
      <w:r>
        <w:rPr>
          <w:b/>
        </w:rPr>
        <w:t xml:space="preserve">Conclusion and placement. </w:t>
      </w:r>
      <w:r>
        <w:t>Keep the scope of the badge clear and connect light to the developing royal hope. Public priority: short connection.</w:t>
      </w:r>
    </w:p>
    <w:p>
      <w:pPr>
        <w:pStyle w:val="Heading2"/>
      </w:pPr>
      <w:r>
        <w:t>C33 The shoot from Jesse</w:t>
      </w:r>
    </w:p>
    <w:p>
      <w:pPr>
        <w:keepNext/>
      </w:pPr>
      <w:r>
        <w:rPr>
          <w:i/>
        </w:rPr>
        <w:t>Divided monarchy and prophetic ministry | Messianic Prophecy | Explicit</w:t>
      </w:r>
    </w:p>
    <w:p>
      <w:pPr>
        <w:keepNext/>
      </w:pPr>
      <w:r>
        <w:rPr>
          <w:b/>
        </w:rPr>
        <w:t xml:space="preserve">Scripture. </w:t>
      </w:r>
      <w:r>
        <w:t>Isaiah 11:1–10 → Romans 15:8–13; Revelation 5:5</w:t>
      </w:r>
      <w:r>
        <w:rPr>
          <w:vertAlign w:val="superscript"/>
        </w:rPr>
        <w:footnoteReference w:id="51"/>
      </w:r>
    </w:p>
    <w:p>
      <w:pPr>
        <w:keepNext w:val="0"/>
      </w:pPr>
      <w:r>
        <w:rPr>
          <w:b/>
        </w:rPr>
        <w:t xml:space="preserve">Original context. </w:t>
      </w:r>
      <w:r>
        <w:t>From a cut-down royal line emerges a Spirit-endowed ruler bringing justice and peace, with nations seeking him.</w:t>
      </w:r>
    </w:p>
    <w:p>
      <w:pPr>
        <w:keepNext w:val="0"/>
      </w:pPr>
      <w:r>
        <w:rPr>
          <w:b/>
        </w:rPr>
        <w:t xml:space="preserve">Connection and explicitness. </w:t>
      </w:r>
      <w:r>
        <w:t>Paul explicitly quotes Isaiah 11:10 to explain the nations’ hope in Christ. Revelation also uses Davidic root language.</w:t>
      </w:r>
    </w:p>
    <w:p>
      <w:pPr>
        <w:keepNext w:val="0"/>
      </w:pPr>
      <w:r>
        <w:rPr>
          <w:b/>
        </w:rPr>
        <w:t xml:space="preserve">Language and text. </w:t>
      </w:r>
      <w:r>
        <w:t>Root and shoot imagery concerns the royal line and renewed life. Botanical detail is not an independent code.</w:t>
      </w:r>
    </w:p>
    <w:p>
      <w:pPr>
        <w:keepNext w:val="0"/>
      </w:pPr>
      <w:r>
        <w:rPr>
          <w:b/>
        </w:rPr>
        <w:t xml:space="preserve">Jewish and historical setting. </w:t>
      </w:r>
      <w:r>
        <w:t>Read this within Israel’s own narrative, worship or covenant life. No universal pre-Christian messianic consensus is asserted for this particular connection.</w:t>
      </w:r>
    </w:p>
    <w:p>
      <w:pPr>
        <w:keepNext w:val="0"/>
      </w:pPr>
      <w:r>
        <w:rPr>
          <w:b/>
        </w:rPr>
        <w:t xml:space="preserve">Assessment. </w:t>
      </w:r>
      <w:r>
        <w:t>The cited biblical argument is the primary evidence. The interpretation is bounded by the original setting and the stated counterargument, rather than by an assumed scholarly consensus.</w:t>
      </w:r>
    </w:p>
    <w:p>
      <w:pPr>
        <w:keepNext w:val="0"/>
      </w:pPr>
      <w:r>
        <w:rPr>
          <w:b/>
        </w:rPr>
        <w:t xml:space="preserve">Strongest counterargument. </w:t>
      </w:r>
      <w:r>
        <w:t>The promised universal peace cannot be equated without qualification with every aspect of present Christian experience.</w:t>
      </w:r>
    </w:p>
    <w:p>
      <w:pPr>
        <w:keepNext w:val="0"/>
      </w:pPr>
      <w:r>
        <w:rPr>
          <w:b/>
        </w:rPr>
        <w:t xml:space="preserve">Conclusion and placement. </w:t>
      </w:r>
      <w:r>
        <w:t>Include Davidic renewal and Gentile hope; avoid forcing the passage to settle the complete end-time timetable. Public priority: short connection.</w:t>
      </w:r>
    </w:p>
    <w:p>
      <w:pPr>
        <w:pStyle w:val="Heading2"/>
      </w:pPr>
      <w:r>
        <w:t>C34 The ruler from Bethlehem</w:t>
      </w:r>
    </w:p>
    <w:p>
      <w:pPr>
        <w:keepNext/>
      </w:pPr>
      <w:r>
        <w:rPr>
          <w:i/>
        </w:rPr>
        <w:t>Divided monarchy and prophetic ministry | Messianic Prophecy | Explicit</w:t>
      </w:r>
    </w:p>
    <w:p>
      <w:pPr>
        <w:keepNext/>
      </w:pPr>
      <w:r>
        <w:rPr>
          <w:b/>
        </w:rPr>
        <w:t xml:space="preserve">Scripture. </w:t>
      </w:r>
      <w:r>
        <w:t>Micah 5:1–5 → Matthew 2:1–6; John 7:40–43</w:t>
      </w:r>
      <w:r>
        <w:rPr>
          <w:vertAlign w:val="superscript"/>
        </w:rPr>
        <w:footnoteReference w:id="52"/>
      </w:r>
    </w:p>
    <w:p>
      <w:pPr>
        <w:keepNext w:val="0"/>
      </w:pPr>
      <w:r>
        <w:rPr>
          <w:b/>
        </w:rPr>
        <w:t xml:space="preserve">Original context. </w:t>
      </w:r>
      <w:r>
        <w:t>Amid siege and threatened leadership, a ruler associated with Bethlehem will shepherd God’s people.</w:t>
      </w:r>
    </w:p>
    <w:p>
      <w:pPr>
        <w:keepNext w:val="0"/>
      </w:pPr>
      <w:r>
        <w:rPr>
          <w:b/>
        </w:rPr>
        <w:t xml:space="preserve">Connection and explicitness. </w:t>
      </w:r>
      <w:r>
        <w:t>Matthew explicitly cites the Bethlehem ruler text in the account of Jesus’s birth; John records the expectation as part of a dispute.</w:t>
      </w:r>
    </w:p>
    <w:p>
      <w:pPr>
        <w:keepNext w:val="0"/>
      </w:pPr>
      <w:r>
        <w:rPr>
          <w:b/>
        </w:rPr>
        <w:t xml:space="preserve">Language and text. </w:t>
      </w:r>
      <w:r>
        <w:t>Origins from ancient days can concern an ancient line or distant beginnings; the phrase alone does not establish every claim about eternal pre-existence.</w:t>
      </w:r>
    </w:p>
    <w:p>
      <w:pPr>
        <w:keepNext w:val="0"/>
      </w:pPr>
      <w:r>
        <w:rPr>
          <w:b/>
        </w:rPr>
        <w:t xml:space="preserve">Jewish and historical setting. </w:t>
      </w:r>
      <w:r>
        <w:t>Read this within Israel’s own narrative, worship or covenant life. No universal pre-Christian messianic consensus is asserted for this particular connection.</w:t>
      </w:r>
    </w:p>
    <w:p>
      <w:pPr>
        <w:keepNext w:val="0"/>
      </w:pPr>
      <w:r>
        <w:rPr>
          <w:b/>
        </w:rPr>
        <w:t xml:space="preserve">Assessment. </w:t>
      </w:r>
      <w:r>
        <w:t>The cited biblical argument is the primary evidence. The interpretation is bounded by the original setting and the stated counterargument, rather than by an assumed scholarly consensus.</w:t>
      </w:r>
    </w:p>
    <w:p>
      <w:pPr>
        <w:keepNext w:val="0"/>
      </w:pPr>
      <w:r>
        <w:rPr>
          <w:b/>
        </w:rPr>
        <w:t xml:space="preserve">Strongest counterargument. </w:t>
      </w:r>
      <w:r>
        <w:t>Matthew adapts and combines wording, including shepherd language. Presenting two English forms as verbatim identical conceals the citation’s character.</w:t>
      </w:r>
    </w:p>
    <w:p>
      <w:pPr>
        <w:keepNext w:val="0"/>
      </w:pPr>
      <w:r>
        <w:rPr>
          <w:b/>
        </w:rPr>
        <w:t xml:space="preserve">Conclusion and placement. </w:t>
      </w:r>
      <w:r>
        <w:t>Include the explicit birthplace connection while preserving the shepherd-ruler context. Public priority: anchor.</w:t>
      </w:r>
    </w:p>
    <w:p>
      <w:pPr>
        <w:pStyle w:val="Heading2"/>
      </w:pPr>
      <w:r>
        <w:t>C35 A voice preparing the way</w:t>
      </w:r>
    </w:p>
    <w:p>
      <w:pPr>
        <w:keepNext/>
      </w:pPr>
      <w:r>
        <w:rPr>
          <w:i/>
        </w:rPr>
        <w:t>Divided monarchy and prophetic ministry | Messianic Prophecy | Explicit</w:t>
      </w:r>
    </w:p>
    <w:p>
      <w:pPr>
        <w:keepNext/>
      </w:pPr>
      <w:r>
        <w:rPr>
          <w:b/>
        </w:rPr>
        <w:t xml:space="preserve">Scripture. </w:t>
      </w:r>
      <w:r>
        <w:t>Isaiah 40:1–11 → Mark 1:2–4; Matthew 3:1–3; John 1:23</w:t>
      </w:r>
      <w:r>
        <w:rPr>
          <w:vertAlign w:val="superscript"/>
        </w:rPr>
        <w:footnoteReference w:id="53"/>
      </w:r>
    </w:p>
    <w:p>
      <w:pPr>
        <w:keepNext w:val="0"/>
      </w:pPr>
      <w:r>
        <w:rPr>
          <w:b/>
        </w:rPr>
        <w:t xml:space="preserve">Original context. </w:t>
      </w:r>
      <w:r>
        <w:t>Comfort announces the Lord’s coming and a way through the wilderness in a restoration setting.</w:t>
      </w:r>
    </w:p>
    <w:p>
      <w:pPr>
        <w:keepNext w:val="0"/>
      </w:pPr>
      <w:r>
        <w:rPr>
          <w:b/>
        </w:rPr>
        <w:t xml:space="preserve">Connection and explicitness. </w:t>
      </w:r>
      <w:r>
        <w:t>The Gospels explicitly identify John as the preparatory voice. The relation of the Lord’s coming to Jesus’s identity supplies the christological force.</w:t>
      </w:r>
    </w:p>
    <w:p>
      <w:pPr>
        <w:keepNext w:val="0"/>
      </w:pPr>
      <w:r>
        <w:rPr>
          <w:b/>
        </w:rPr>
        <w:t xml:space="preserve">Language and text. </w:t>
      </w:r>
      <w:r>
        <w:t>Where the wilderness phrase attaches in the Hebrew and Gospel presentation should be read in context. The image is not a road-engineering prediction.</w:t>
      </w:r>
    </w:p>
    <w:p>
      <w:pPr>
        <w:keepNext w:val="0"/>
      </w:pPr>
      <w:r>
        <w:rPr>
          <w:b/>
        </w:rPr>
        <w:t xml:space="preserve">Jewish and historical setting. </w:t>
      </w:r>
      <w:r>
        <w:t>Read this within Israel’s own narrative, worship or covenant life. No universal pre-Christian messianic consensus is asserted for this particular connection.</w:t>
      </w:r>
    </w:p>
    <w:p>
      <w:pPr>
        <w:keepNext w:val="0"/>
      </w:pPr>
      <w:r>
        <w:rPr>
          <w:b/>
        </w:rPr>
        <w:t xml:space="preserve">Assessment. </w:t>
      </w:r>
      <w:r>
        <w:t>The cited biblical argument is the primary evidence. The interpretation is bounded by the original setting and the stated counterargument, rather than by an assumed scholarly consensus.</w:t>
      </w:r>
    </w:p>
    <w:p>
      <w:pPr>
        <w:keepNext w:val="0"/>
      </w:pPr>
      <w:r>
        <w:rPr>
          <w:b/>
        </w:rPr>
        <w:t xml:space="preserve">Strongest counterargument. </w:t>
      </w:r>
      <w:r>
        <w:t>The voice primarily describes the preparer, not a physical portrait of Christ; the original restoration horizon should not disappear.</w:t>
      </w:r>
    </w:p>
    <w:p>
      <w:pPr>
        <w:keepNext w:val="0"/>
      </w:pPr>
      <w:r>
        <w:rPr>
          <w:b/>
        </w:rPr>
        <w:t xml:space="preserve">Conclusion and placement. </w:t>
      </w:r>
      <w:r>
        <w:t>Keep with Isaiah and recall briefly at the Gospel threshold, avoiding a duplicate John scene. Public priority: optional or research.</w:t>
      </w:r>
    </w:p>
    <w:p>
      <w:pPr>
        <w:pStyle w:val="Heading2"/>
      </w:pPr>
      <w:r>
        <w:t>C36 The servant who suffers and brings restoration</w:t>
      </w:r>
    </w:p>
    <w:p>
      <w:pPr>
        <w:keepNext/>
      </w:pPr>
      <w:r>
        <w:rPr>
          <w:i/>
        </w:rPr>
        <w:t>Divided monarchy and prophetic ministry | Messianic Prophecy | Explicit</w:t>
      </w:r>
    </w:p>
    <w:p>
      <w:pPr>
        <w:keepNext/>
      </w:pPr>
      <w:r>
        <w:rPr>
          <w:b/>
        </w:rPr>
        <w:t xml:space="preserve">Scripture. </w:t>
      </w:r>
      <w:r>
        <w:t>Isaiah 42:1–9; 49:1–7; 50:4–9; 52:13–53:12 → Matthew 12:15–21; Luke 22:37; Acts 8:26–35; 1 Peter 2:21–25</w:t>
      </w:r>
      <w:r>
        <w:rPr>
          <w:vertAlign w:val="superscript"/>
        </w:rPr>
        <w:footnoteReference w:id="54"/>
      </w:r>
    </w:p>
    <w:p>
      <w:pPr>
        <w:keepNext w:val="0"/>
      </w:pPr>
      <w:r>
        <w:rPr>
          <w:b/>
        </w:rPr>
        <w:t xml:space="preserve">Original context. </w:t>
      </w:r>
      <w:r>
        <w:t>Isaiah uses servant language for Israel and also describes a servant whose mission concerns Israel and the nations. The climactic poem moves through rejection, suffering and vindication.</w:t>
      </w:r>
    </w:p>
    <w:p>
      <w:pPr>
        <w:keepNext w:val="0"/>
      </w:pPr>
      <w:r>
        <w:rPr>
          <w:b/>
        </w:rPr>
        <w:t xml:space="preserve">Connection and explicitness. </w:t>
      </w:r>
      <w:r>
        <w:t>Matthew, Luke, Acts and Peter explicitly connect servant texts with Jesus. Acts 8 names Jesus in explaining the passage; Peter applies suffering and bearing sins to him.</w:t>
      </w:r>
    </w:p>
    <w:p>
      <w:pPr>
        <w:keepNext w:val="0"/>
      </w:pPr>
      <w:r>
        <w:rPr>
          <w:b/>
        </w:rPr>
        <w:t xml:space="preserve">Language and text. </w:t>
      </w:r>
      <w:r>
        <w:t>ʿEbed (עֶבֶד), servant, requires contextual identification. Asham (אָשָׁם) invokes guilt or reparation offering imagery; Isaiah 53:10 contains syntactic questions that should not be silently flattened.</w:t>
      </w:r>
    </w:p>
    <w:p>
      <w:pPr>
        <w:keepNext w:val="0"/>
      </w:pPr>
      <w:r>
        <w:rPr>
          <w:b/>
        </w:rPr>
        <w:t xml:space="preserve">Jewish and historical setting. </w:t>
      </w:r>
      <w:r>
        <w:t>Later rabbinic messianic use of Isaiah 53, such as the Sanhedrin 98a discussion described by Zierler, shows reception diversity; it does not establish a pre-Christian consensus.</w:t>
      </w:r>
    </w:p>
    <w:p>
      <w:pPr>
        <w:keepNext w:val="0"/>
      </w:pPr>
      <w:r>
        <w:rPr>
          <w:b/>
        </w:rPr>
        <w:t xml:space="preserve">Assessment. </w:t>
      </w:r>
      <w:r>
        <w:t>The explicit NT applications control the Christian conclusion. NET identifies a material grammatical question; Jewish corporate readings are grounded in Isaiah’s own servant language, not dismissed as evasions.</w:t>
      </w:r>
      <w:r>
        <w:rPr>
          <w:vertAlign w:val="superscript"/>
        </w:rPr>
        <w:footnoteReference w:id="55"/>
      </w:r>
    </w:p>
    <w:p>
      <w:pPr>
        <w:keepNext w:val="0"/>
      </w:pPr>
      <w:r>
        <w:rPr>
          <w:b/>
        </w:rPr>
        <w:t xml:space="preserve">Strongest counterargument. </w:t>
      </w:r>
      <w:r>
        <w:t>Corporate Israel, a faithful remnant and individual readings deserve real attention. Neither the word servant alone nor alleged unanimous prior expectation proves the Christian identification.</w:t>
      </w:r>
    </w:p>
    <w:p>
      <w:pPr>
        <w:keepNext w:val="0"/>
      </w:pPr>
      <w:r>
        <w:rPr>
          <w:b/>
        </w:rPr>
        <w:t xml:space="preserve">Conclusion and placement. </w:t>
      </w:r>
      <w:r>
        <w:t>Make the developed servant portrait a central encounter. Preserve innocence, sin-bearing and vindication, and identify the NT bridge plainly. Public priority: anchor.</w:t>
      </w:r>
    </w:p>
    <w:p>
      <w:pPr>
        <w:pStyle w:val="Heading2"/>
      </w:pPr>
      <w:r>
        <w:t>C37 Good news and the anointed herald</w:t>
      </w:r>
    </w:p>
    <w:p>
      <w:pPr>
        <w:keepNext/>
      </w:pPr>
      <w:r>
        <w:rPr>
          <w:i/>
        </w:rPr>
        <w:t>Divided monarchy and prophetic ministry | Messianic Prophecy | Explicit</w:t>
      </w:r>
    </w:p>
    <w:p>
      <w:pPr>
        <w:keepNext/>
      </w:pPr>
      <w:r>
        <w:rPr>
          <w:b/>
        </w:rPr>
        <w:t xml:space="preserve">Scripture. </w:t>
      </w:r>
      <w:r>
        <w:t>Isaiah 61:1–3 → Luke 4:16–21</w:t>
      </w:r>
      <w:r>
        <w:rPr>
          <w:vertAlign w:val="superscript"/>
        </w:rPr>
        <w:footnoteReference w:id="56"/>
      </w:r>
    </w:p>
    <w:p>
      <w:pPr>
        <w:keepNext w:val="0"/>
      </w:pPr>
      <w:r>
        <w:rPr>
          <w:b/>
        </w:rPr>
        <w:t xml:space="preserve">Original context. </w:t>
      </w:r>
      <w:r>
        <w:t>A Spirit-anointed speaker announces good news, release, comfort and restoration.</w:t>
      </w:r>
    </w:p>
    <w:p>
      <w:pPr>
        <w:keepNext w:val="0"/>
      </w:pPr>
      <w:r>
        <w:rPr>
          <w:b/>
        </w:rPr>
        <w:t xml:space="preserve">Connection and explicitness. </w:t>
      </w:r>
      <w:r>
        <w:t>Jesus reads the passage and explicitly identifies its fulfillment in the synagogue scene.</w:t>
      </w:r>
    </w:p>
    <w:p>
      <w:pPr>
        <w:keepNext w:val="0"/>
      </w:pPr>
      <w:r>
        <w:rPr>
          <w:b/>
        </w:rPr>
        <w:t xml:space="preserve">Language and text. </w:t>
      </w:r>
      <w:r>
        <w:t>Anointing and release language must be understood through Isaiah’s restoration and Luke’s presentation. A lexical link does not establish a modern prosperity guarantee.</w:t>
      </w:r>
    </w:p>
    <w:p>
      <w:pPr>
        <w:keepNext w:val="0"/>
      </w:pPr>
      <w:r>
        <w:rPr>
          <w:b/>
        </w:rPr>
        <w:t xml:space="preserve">Jewish and historical setting. </w:t>
      </w:r>
      <w:r>
        <w:t>Read this within Israel’s own narrative, worship or covenant life. No universal pre-Christian messianic consensus is asserted for this particular connection.</w:t>
      </w:r>
    </w:p>
    <w:p>
      <w:pPr>
        <w:keepNext w:val="0"/>
      </w:pPr>
      <w:r>
        <w:rPr>
          <w:b/>
        </w:rPr>
        <w:t xml:space="preserve">Assessment. </w:t>
      </w:r>
      <w:r>
        <w:t>The cited biblical argument is the primary evidence. The interpretation is bounded by the original setting and the stated counterargument, rather than by an assumed scholarly consensus.</w:t>
      </w:r>
    </w:p>
    <w:p>
      <w:pPr>
        <w:keepNext w:val="0"/>
      </w:pPr>
      <w:r>
        <w:rPr>
          <w:b/>
        </w:rPr>
        <w:t xml:space="preserve">Strongest counterargument. </w:t>
      </w:r>
      <w:r>
        <w:t>Luke’s selection and stopping point matter. The entire restoration and judgment horizon should not be compressed into a claim that all suffering ends immediately.</w:t>
      </w:r>
    </w:p>
    <w:p>
      <w:pPr>
        <w:keepNext w:val="0"/>
      </w:pPr>
      <w:r>
        <w:rPr>
          <w:b/>
        </w:rPr>
        <w:t xml:space="preserve">Conclusion and placement. </w:t>
      </w:r>
      <w:r>
        <w:t>Include Jesus’s own application and the character of his mission. Public priority: short connection.</w:t>
      </w:r>
    </w:p>
    <w:p>
      <w:pPr>
        <w:pStyle w:val="Heading2"/>
      </w:pPr>
      <w:r>
        <w:t>C38 The promise of a new covenant</w:t>
      </w:r>
    </w:p>
    <w:p>
      <w:pPr>
        <w:keepNext/>
      </w:pPr>
      <w:r>
        <w:rPr>
          <w:i/>
        </w:rPr>
        <w:t>Exile and restoration hope | Promise | Explicit</w:t>
      </w:r>
    </w:p>
    <w:p>
      <w:pPr>
        <w:keepNext/>
      </w:pPr>
      <w:r>
        <w:rPr>
          <w:b/>
        </w:rPr>
        <w:t xml:space="preserve">Scripture. </w:t>
      </w:r>
      <w:r>
        <w:t>Jeremiah 31:31–34 → Luke 22:20; Hebrews 8:6–13; 10:15–18</w:t>
      </w:r>
      <w:r>
        <w:rPr>
          <w:vertAlign w:val="superscript"/>
        </w:rPr>
        <w:footnoteReference w:id="57"/>
      </w:r>
    </w:p>
    <w:p>
      <w:pPr>
        <w:keepNext w:val="0"/>
      </w:pPr>
      <w:r>
        <w:rPr>
          <w:b/>
        </w:rPr>
        <w:t xml:space="preserve">Original context. </w:t>
      </w:r>
      <w:r>
        <w:t>In a restoration context, God promises Israel and Judah renewed covenant relationship, internalized instruction, knowledge of God and forgiveness.</w:t>
      </w:r>
    </w:p>
    <w:p>
      <w:pPr>
        <w:keepNext w:val="0"/>
      </w:pPr>
      <w:r>
        <w:rPr>
          <w:b/>
        </w:rPr>
        <w:t xml:space="preserve">Connection and explicitness. </w:t>
      </w:r>
      <w:r>
        <w:t>Jesus identifies the cup with the new covenant in his blood. Hebrews explicitly quotes Jeremiah and relates the promise to Christ’s mediation.</w:t>
      </w:r>
    </w:p>
    <w:p>
      <w:pPr>
        <w:keepNext w:val="0"/>
      </w:pPr>
      <w:r>
        <w:rPr>
          <w:b/>
        </w:rPr>
        <w:t xml:space="preserve">Language and text. </w:t>
      </w:r>
      <w:r>
        <w:t>Berit (בְּרִית) and diathēkē (διαθήκη) name the covenant here. New should be explained by the stated changes rather than an isolated gloss.</w:t>
      </w:r>
    </w:p>
    <w:p>
      <w:pPr>
        <w:keepNext w:val="0"/>
      </w:pPr>
      <w:r>
        <w:rPr>
          <w:b/>
        </w:rPr>
        <w:t xml:space="preserve">Jewish and historical setting. </w:t>
      </w:r>
      <w:r>
        <w:t>Read this within Israel’s own narrative, worship or covenant life. No universal pre-Christian messianic consensus is asserted for this particular connection.</w:t>
      </w:r>
    </w:p>
    <w:p>
      <w:pPr>
        <w:keepNext w:val="0"/>
      </w:pPr>
      <w:r>
        <w:rPr>
          <w:b/>
        </w:rPr>
        <w:t xml:space="preserve">Assessment. </w:t>
      </w:r>
      <w:r>
        <w:t>The cited biblical argument is the primary evidence. The interpretation is bounded by the original setting and the stated counterargument, rather than by an assumed scholarly consensus.</w:t>
      </w:r>
    </w:p>
    <w:p>
      <w:pPr>
        <w:keepNext w:val="0"/>
      </w:pPr>
      <w:r>
        <w:rPr>
          <w:b/>
        </w:rPr>
        <w:t xml:space="preserve">Strongest counterargument. </w:t>
      </w:r>
      <w:r>
        <w:t>The original addressees must not be erased. Universal knowledge and complete restoration cannot be equated without qualification with current Christian experience.</w:t>
      </w:r>
    </w:p>
    <w:p>
      <w:pPr>
        <w:keepNext w:val="0"/>
      </w:pPr>
      <w:r>
        <w:rPr>
          <w:b/>
        </w:rPr>
        <w:t xml:space="preserve">Conclusion and placement. </w:t>
      </w:r>
      <w:r>
        <w:t>Make forgiveness and Christ’s mediation central. Do not use one paragraph to settle every Israel-and-church or eschatological debate. Public priority: anchor.</w:t>
      </w:r>
    </w:p>
    <w:p>
      <w:pPr>
        <w:pStyle w:val="Heading2"/>
      </w:pPr>
      <w:r>
        <w:t>C39 Rachel s tears and restoration hope</w:t>
      </w:r>
    </w:p>
    <w:p>
      <w:pPr>
        <w:keepNext/>
      </w:pPr>
      <w:r>
        <w:rPr>
          <w:i/>
        </w:rPr>
        <w:t>Exile and restoration hope | Canonical Pattern | Explicit</w:t>
      </w:r>
    </w:p>
    <w:p>
      <w:pPr>
        <w:keepNext/>
      </w:pPr>
      <w:r>
        <w:rPr>
          <w:b/>
        </w:rPr>
        <w:t xml:space="preserve">Scripture. </w:t>
      </w:r>
      <w:r>
        <w:t>Jeremiah 31:15–17 → Matthew 2:16–18</w:t>
      </w:r>
      <w:r>
        <w:rPr>
          <w:vertAlign w:val="superscript"/>
        </w:rPr>
        <w:footnoteReference w:id="58"/>
      </w:r>
    </w:p>
    <w:p>
      <w:pPr>
        <w:keepNext w:val="0"/>
      </w:pPr>
      <w:r>
        <w:rPr>
          <w:b/>
        </w:rPr>
        <w:t xml:space="preserve">Original context. </w:t>
      </w:r>
      <w:r>
        <w:t>Rachel’s lament evokes loss, but Jeremiah immediately speaks of return and future hope.</w:t>
      </w:r>
    </w:p>
    <w:p>
      <w:pPr>
        <w:keepNext w:val="0"/>
      </w:pPr>
      <w:r>
        <w:rPr>
          <w:b/>
        </w:rPr>
        <w:t xml:space="preserve">Connection and explicitness. </w:t>
      </w:r>
      <w:r>
        <w:t>Matthew explicitly applies the lament to the killing of children in Bethlehem.</w:t>
      </w:r>
    </w:p>
    <w:p>
      <w:pPr>
        <w:keepNext w:val="0"/>
      </w:pPr>
      <w:r>
        <w:rPr>
          <w:b/>
        </w:rPr>
        <w:t xml:space="preserve">Language and text. </w:t>
      </w:r>
      <w:r>
        <w:t>Fulfillment can draw an earlier lament into a later event without changing its original tense or eliminating its original horizon.</w:t>
      </w:r>
    </w:p>
    <w:p>
      <w:pPr>
        <w:keepNext w:val="0"/>
      </w:pPr>
      <w:r>
        <w:rPr>
          <w:b/>
        </w:rPr>
        <w:t xml:space="preserve">Jewish and historical setting. </w:t>
      </w:r>
      <w:r>
        <w:t>Read this within Israel’s own narrative, worship or covenant life. No universal pre-Christian messianic consensus is asserted for this particular connection.</w:t>
      </w:r>
    </w:p>
    <w:p>
      <w:pPr>
        <w:keepNext w:val="0"/>
      </w:pPr>
      <w:r>
        <w:rPr>
          <w:b/>
        </w:rPr>
        <w:t xml:space="preserve">Assessment. </w:t>
      </w:r>
      <w:r>
        <w:t>The cited biblical argument is the primary evidence. The interpretation is bounded by the original setting and the stated counterargument, rather than by an assumed scholarly consensus.</w:t>
      </w:r>
    </w:p>
    <w:p>
      <w:pPr>
        <w:keepNext w:val="0"/>
      </w:pPr>
      <w:r>
        <w:rPr>
          <w:b/>
        </w:rPr>
        <w:t xml:space="preserve">Strongest counterargument. </w:t>
      </w:r>
      <w:r>
        <w:t>Calling the verse only a prediction of massacre hides the restoration that follows it.</w:t>
      </w:r>
    </w:p>
    <w:p>
      <w:pPr>
        <w:keepNext w:val="0"/>
      </w:pPr>
      <w:r>
        <w:rPr>
          <w:b/>
        </w:rPr>
        <w:t xml:space="preserve">Conclusion and placement. </w:t>
      </w:r>
      <w:r>
        <w:t>Keep as optional research depth. Use compassionate language and preserve the passage’s hope rather than make tragedy a spectacle. Public priority: optional or research.</w:t>
      </w:r>
    </w:p>
    <w:p>
      <w:pPr>
        <w:pStyle w:val="Heading2"/>
      </w:pPr>
      <w:r>
        <w:t>C40 One shepherd for the scattered flock</w:t>
      </w:r>
    </w:p>
    <w:p>
      <w:pPr>
        <w:keepNext/>
      </w:pPr>
      <w:r>
        <w:rPr>
          <w:i/>
        </w:rPr>
        <w:t>Exile and restoration hope | Promise | Strongly Established</w:t>
      </w:r>
    </w:p>
    <w:p>
      <w:pPr>
        <w:keepNext/>
      </w:pPr>
      <w:r>
        <w:rPr>
          <w:b/>
        </w:rPr>
        <w:t xml:space="preserve">Scripture. </w:t>
      </w:r>
      <w:r>
        <w:t>Ezekiel 34:1–31; 37:24–28 → John 10:1–18; Luke 15:3–7; Hebrews 13:20</w:t>
      </w:r>
      <w:r>
        <w:rPr>
          <w:vertAlign w:val="superscript"/>
        </w:rPr>
        <w:footnoteReference w:id="59"/>
      </w:r>
    </w:p>
    <w:p>
      <w:pPr>
        <w:keepNext w:val="0"/>
      </w:pPr>
      <w:r>
        <w:rPr>
          <w:b/>
        </w:rPr>
        <w:t xml:space="preserve">Original context. </w:t>
      </w:r>
      <w:r>
        <w:t>God condemns predatory shepherds, promises to seek the sheep himself and appoints one Davidic shepherd.</w:t>
      </w:r>
    </w:p>
    <w:p>
      <w:pPr>
        <w:keepNext w:val="0"/>
      </w:pPr>
      <w:r>
        <w:rPr>
          <w:b/>
        </w:rPr>
        <w:t xml:space="preserve">Connection and explicitness. </w:t>
      </w:r>
      <w:r>
        <w:t>Jesus’s good-shepherd discourse combines gathering, care, one flock and self-giving leadership. The cluster strongly resonates with Ezekiel; John does not attach a formal Ezekiel fulfillment quotation.</w:t>
      </w:r>
    </w:p>
    <w:p>
      <w:pPr>
        <w:keepNext w:val="0"/>
      </w:pPr>
      <w:r>
        <w:rPr>
          <w:b/>
        </w:rPr>
        <w:t xml:space="preserve">Language and text. </w:t>
      </w:r>
      <w:r>
        <w:t>Raʿah (רָעָה), shepherd or tend, can describe rule. Shared vocabulary alone is insufficient; the connected actions carry the argument.</w:t>
      </w:r>
    </w:p>
    <w:p>
      <w:pPr>
        <w:keepNext w:val="0"/>
      </w:pPr>
      <w:r>
        <w:rPr>
          <w:b/>
        </w:rPr>
        <w:t xml:space="preserve">Jewish and historical setting. </w:t>
      </w:r>
      <w:r>
        <w:t>The critique targets failed leaders, not all Jewish people. God’s own shepherding and the Davidic servant belong together in the promise.</w:t>
      </w:r>
    </w:p>
    <w:p>
      <w:pPr>
        <w:keepNext w:val="0"/>
      </w:pPr>
      <w:r>
        <w:rPr>
          <w:b/>
        </w:rPr>
        <w:t xml:space="preserve">Assessment. </w:t>
      </w:r>
      <w:r>
        <w:t>The juxtaposition in Ezekiel supplies the strongest bridge. NET’s John 10 note emphasizes Jesus’s deliberate self-giving, which differs from the effect of an ordinary shepherd’s death.</w:t>
      </w:r>
      <w:r>
        <w:rPr>
          <w:vertAlign w:val="superscript"/>
        </w:rPr>
        <w:footnoteReference w:id="60"/>
      </w:r>
    </w:p>
    <w:p>
      <w:pPr>
        <w:keepNext w:val="0"/>
      </w:pPr>
      <w:r>
        <w:rPr>
          <w:b/>
        </w:rPr>
        <w:t xml:space="preserve">Strongest counterargument. </w:t>
      </w:r>
      <w:r>
        <w:t>Shepherd imagery is widespread, so exclusive dependence on Ezekiel is not proved. Its restoration of exiled Israel must remain visible.</w:t>
      </w:r>
    </w:p>
    <w:p>
      <w:pPr>
        <w:keepNext w:val="0"/>
      </w:pPr>
      <w:r>
        <w:rPr>
          <w:b/>
        </w:rPr>
        <w:t xml:space="preserve">Conclusion and placement. </w:t>
      </w:r>
      <w:r>
        <w:t>Retain a strongly established connection, avoiding an exclusive-source or unqualified replacement claim. Public priority: short connection.</w:t>
      </w:r>
    </w:p>
    <w:p>
      <w:pPr>
        <w:pStyle w:val="Heading2"/>
      </w:pPr>
      <w:r>
        <w:t>C41 The human figure and an everlasting kingdom</w:t>
      </w:r>
    </w:p>
    <w:p>
      <w:pPr>
        <w:keepNext/>
      </w:pPr>
      <w:r>
        <w:rPr>
          <w:i/>
        </w:rPr>
        <w:t>Exile and restoration hope | Messianic Prophecy | Explicit</w:t>
      </w:r>
    </w:p>
    <w:p>
      <w:pPr>
        <w:keepNext/>
      </w:pPr>
      <w:r>
        <w:rPr>
          <w:b/>
        </w:rPr>
        <w:t xml:space="preserve">Scripture. </w:t>
      </w:r>
      <w:r>
        <w:t>Daniel 7:9–14, 17–27 → Mark 14:61–62; Matthew 26:64; Revelation 1:7, 13</w:t>
      </w:r>
      <w:r>
        <w:rPr>
          <w:vertAlign w:val="superscript"/>
        </w:rPr>
        <w:footnoteReference w:id="61"/>
      </w:r>
    </w:p>
    <w:p>
      <w:pPr>
        <w:keepNext w:val="0"/>
      </w:pPr>
      <w:r>
        <w:rPr>
          <w:b/>
        </w:rPr>
        <w:t xml:space="preserve">Original context. </w:t>
      </w:r>
      <w:r>
        <w:t>Beastlike kingdoms yield to judgment and a humanlike figure receiving dominion. The interpretation also assigns the kingdom to the holy ones.</w:t>
      </w:r>
    </w:p>
    <w:p>
      <w:pPr>
        <w:keepNext w:val="0"/>
      </w:pPr>
      <w:r>
        <w:rPr>
          <w:b/>
        </w:rPr>
        <w:t xml:space="preserve">Connection and explicitness. </w:t>
      </w:r>
      <w:r>
        <w:t>Jesus explicitly invokes the cloud-coming Son of Man together with Psalm 110 at his hearing.</w:t>
      </w:r>
    </w:p>
    <w:p>
      <w:pPr>
        <w:keepNext w:val="0"/>
      </w:pPr>
      <w:r>
        <w:rPr>
          <w:b/>
        </w:rPr>
        <w:t xml:space="preserve">Language and text. </w:t>
      </w:r>
      <w:r>
        <w:t>Kebar ʾenash (כְּבַר אֱנָשׁ) means like a human being. The figure approaches the Ancient of Days; the scene is not simply a diagram of descent to earth.</w:t>
      </w:r>
    </w:p>
    <w:p>
      <w:pPr>
        <w:keepNext w:val="0"/>
      </w:pPr>
      <w:r>
        <w:rPr>
          <w:b/>
        </w:rPr>
        <w:t xml:space="preserve">Jewish and historical setting. </w:t>
      </w:r>
      <w:r>
        <w:t>Dates of later Son of Man traditions are debated. Do not call them all demonstrably pre-Christian.</w:t>
      </w:r>
    </w:p>
    <w:p>
      <w:pPr>
        <w:keepNext w:val="0"/>
      </w:pPr>
      <w:r>
        <w:rPr>
          <w:b/>
        </w:rPr>
        <w:t xml:space="preserve">Assessment. </w:t>
      </w:r>
      <w:r>
        <w:t>NET identifies corporate, Michael and individual interpretations. The explicit Gospel application does not require pretending the original interpretive questions do not exist.</w:t>
      </w:r>
      <w:r>
        <w:rPr>
          <w:vertAlign w:val="superscript"/>
        </w:rPr>
        <w:footnoteReference w:id="62"/>
      </w:r>
    </w:p>
    <w:p>
      <w:pPr>
        <w:keepNext w:val="0"/>
      </w:pPr>
      <w:r>
        <w:rPr>
          <w:b/>
        </w:rPr>
        <w:t xml:space="preserve">Strongest counterargument. </w:t>
      </w:r>
      <w:r>
        <w:t>The collective focus on the holy ones complicates an individual reading detached from a people. Corporate-representative and angelic alternatives must be acknowledged.</w:t>
      </w:r>
    </w:p>
    <w:p>
      <w:pPr>
        <w:keepNext w:val="0"/>
      </w:pPr>
      <w:r>
        <w:rPr>
          <w:b/>
        </w:rPr>
        <w:t xml:space="preserve">Conclusion and placement. </w:t>
      </w:r>
      <w:r>
        <w:t>Include Jesus’s application and the representative dimension. Distinguish narrative setting from disputed composition dates. Public priority: anchor.</w:t>
      </w:r>
    </w:p>
    <w:p>
      <w:pPr>
        <w:pStyle w:val="Heading2"/>
      </w:pPr>
      <w:r>
        <w:t>C42 Daniel s anointed loss and restoration hope</w:t>
      </w:r>
    </w:p>
    <w:p>
      <w:pPr>
        <w:keepNext/>
      </w:pPr>
      <w:r>
        <w:rPr>
          <w:i/>
        </w:rPr>
        <w:t>Exile and restoration hope | Canonical Pattern | Plausible Echo</w:t>
      </w:r>
    </w:p>
    <w:p>
      <w:pPr>
        <w:keepNext/>
      </w:pPr>
      <w:r>
        <w:rPr>
          <w:b/>
        </w:rPr>
        <w:t xml:space="preserve">Scripture. </w:t>
      </w:r>
      <w:r>
        <w:t>Daniel 9:24–27 → Matthew 24:15; Mark 13:14; Luke 21:20–24 concern related desolation, not explicit identification of the anointed figure</w:t>
      </w:r>
      <w:r>
        <w:rPr>
          <w:vertAlign w:val="superscript"/>
        </w:rPr>
        <w:footnoteReference w:id="63"/>
      </w:r>
    </w:p>
    <w:p>
      <w:pPr>
        <w:keepNext w:val="0"/>
      </w:pPr>
      <w:r>
        <w:rPr>
          <w:b/>
        </w:rPr>
        <w:t xml:space="preserve">Original context. </w:t>
      </w:r>
      <w:r>
        <w:t>Gabriel answers Daniel’s confession and prayer for Jerusalem with a sabbatical sequence of restoration, anointed loss, disrupted worship and a divinely limited desolation.</w:t>
      </w:r>
    </w:p>
    <w:p>
      <w:pPr>
        <w:keepNext w:val="0"/>
      </w:pPr>
      <w:r>
        <w:rPr>
          <w:b/>
        </w:rPr>
        <w:t xml:space="preserve">Connection and explicitness. </w:t>
      </w:r>
      <w:r>
        <w:t>The passage’s configuration of anointed loss, atonement and restoration may contribute to the canonical pattern brought into focus in Christ. The NT applies Danielic desolation to later events but does not explicitly identify Daniel 9:25–26’s anointed figure as Jesus.</w:t>
      </w:r>
    </w:p>
    <w:p>
      <w:pPr>
        <w:keepNext w:val="0"/>
      </w:pPr>
      <w:r>
        <w:rPr>
          <w:b/>
        </w:rPr>
        <w:t xml:space="preserve">Language and text. </w:t>
      </w:r>
      <w:r>
        <w:t>Mashiaḥ lacks the article but can still identify a definite individual; neither the noun nor English capitals decide the referent. The split after seven favors two figures. Yikkarēt means will be cut off; weʾēn lo does not securely mean not for himself.</w:t>
      </w:r>
    </w:p>
    <w:p>
      <w:pPr>
        <w:keepNext w:val="0"/>
      </w:pPr>
      <w:r>
        <w:rPr>
          <w:b/>
        </w:rPr>
        <w:t xml:space="preserve">Jewish and historical setting. </w:t>
      </w:r>
      <w:r>
        <w:t>Jewish and Christian reception includes Antiochene, Roman, messianic and future-week readings. Ancient Christian interpretation does not establish one uniform calendar; Rashi’s compressed chronology is also historically problematic.</w:t>
      </w:r>
    </w:p>
    <w:p>
      <w:pPr>
        <w:keepNext w:val="0"/>
      </w:pPr>
      <w:r>
        <w:rPr>
          <w:b/>
        </w:rPr>
        <w:t xml:space="preserve">Assessment. </w:t>
      </w:r>
      <w:r>
        <w:t>The independent audit compares Hebrew, translations, six principal model families, reception and NT evidence. No model demonstrates every date and referent. Its exact-day verdict is Unsustainable as a proven apologetic claim, while a bounded Christian canonical echo remains plausible.</w:t>
      </w:r>
      <w:r>
        <w:rPr>
          <w:vertAlign w:val="superscript"/>
        </w:rPr>
        <w:footnoteReference w:id="64"/>
      </w:r>
    </w:p>
    <w:p>
      <w:pPr>
        <w:keepNext w:val="0"/>
      </w:pPr>
      <w:r>
        <w:rPr>
          <w:b/>
        </w:rPr>
        <w:t xml:space="preserve">Strongest counterargument. </w:t>
      </w:r>
      <w:r>
        <w:t>The strongest alternative identifies an early restoration leader and then Onias III in the Antiochene crisis. This explains much local detail but has a substantial chronological shortfall and does not exhaust the final hope.</w:t>
      </w:r>
    </w:p>
    <w:p>
      <w:pPr>
        <w:keepNext w:val="0"/>
      </w:pPr>
      <w:r>
        <w:rPr>
          <w:b/>
        </w:rPr>
        <w:t xml:space="preserve">Conclusion and placement. </w:t>
      </w:r>
      <w:r>
        <w:t>Completed focused audit recommends C — Research Layer Only. Retain Canonical Pattern — Plausible Echo for the bounded relationship; exclude a demonstrated 483-year or exact-day proof. No public countdown or new central encounter. See Daniel_9_Critical_Audit.docx. Public priority: optional or research.</w:t>
      </w:r>
    </w:p>
    <w:p>
      <w:pPr>
        <w:pStyle w:val="Heading2"/>
      </w:pPr>
      <w:r>
        <w:t>C43 The humble king comes to Zion</w:t>
      </w:r>
    </w:p>
    <w:p>
      <w:pPr>
        <w:keepNext/>
      </w:pPr>
      <w:r>
        <w:rPr>
          <w:i/>
        </w:rPr>
        <w:t>Postexilic prophetic expectation | Messianic Prophecy | Explicit</w:t>
      </w:r>
    </w:p>
    <w:p>
      <w:pPr>
        <w:keepNext/>
      </w:pPr>
      <w:r>
        <w:rPr>
          <w:b/>
        </w:rPr>
        <w:t xml:space="preserve">Scripture. </w:t>
      </w:r>
      <w:r>
        <w:t>Zechariah 9:9–10 → Matthew 21:1–9; John 12:12–16</w:t>
      </w:r>
      <w:r>
        <w:rPr>
          <w:vertAlign w:val="superscript"/>
        </w:rPr>
        <w:footnoteReference w:id="65"/>
      </w:r>
    </w:p>
    <w:p>
      <w:pPr>
        <w:keepNext w:val="0"/>
      </w:pPr>
      <w:r>
        <w:rPr>
          <w:b/>
        </w:rPr>
        <w:t xml:space="preserve">Original context. </w:t>
      </w:r>
      <w:r>
        <w:t>Zion is called to welcome a righteous, humble king whose peaceful rule extends beyond the nation.</w:t>
      </w:r>
    </w:p>
    <w:p>
      <w:pPr>
        <w:keepNext w:val="0"/>
      </w:pPr>
      <w:r>
        <w:rPr>
          <w:b/>
        </w:rPr>
        <w:t xml:space="preserve">Connection and explicitness. </w:t>
      </w:r>
      <w:r>
        <w:t>Matthew and John explicitly interpret Jesus’s entry into Jerusalem through this oracle.</w:t>
      </w:r>
    </w:p>
    <w:p>
      <w:pPr>
        <w:keepNext w:val="0"/>
      </w:pPr>
      <w:r>
        <w:rPr>
          <w:b/>
        </w:rPr>
        <w:t xml:space="preserve">Language and text. </w:t>
      </w:r>
      <w:r>
        <w:t>ʿAni (עָנִי) can convey humble or afflicted. Donkey and colt lines use poetic parallelism; differences in Gospel narration should not be erased.</w:t>
      </w:r>
    </w:p>
    <w:p>
      <w:pPr>
        <w:keepNext w:val="0"/>
      </w:pPr>
      <w:r>
        <w:rPr>
          <w:b/>
        </w:rPr>
        <w:t xml:space="preserve">Jewish and historical setting. </w:t>
      </w:r>
      <w:r>
        <w:t>Read this within Israel’s own narrative, worship or covenant life. No universal pre-Christian messianic consensus is asserted for this particular connection.</w:t>
      </w:r>
    </w:p>
    <w:p>
      <w:pPr>
        <w:keepNext w:val="0"/>
      </w:pPr>
      <w:r>
        <w:rPr>
          <w:b/>
        </w:rPr>
        <w:t xml:space="preserve">Assessment. </w:t>
      </w:r>
      <w:r>
        <w:t>The cited biblical argument is the primary evidence. The interpretation is bounded by the original setting and the stated counterargument, rather than by an assumed scholarly consensus.</w:t>
      </w:r>
    </w:p>
    <w:p>
      <w:pPr>
        <w:keepNext w:val="0"/>
      </w:pPr>
      <w:r>
        <w:rPr>
          <w:b/>
        </w:rPr>
        <w:t xml:space="preserve">Strongest counterargument. </w:t>
      </w:r>
      <w:r>
        <w:t>The scene must not be reduced to a transport prediction while ignoring the oracle’s peace and dominion.</w:t>
      </w:r>
    </w:p>
    <w:p>
      <w:pPr>
        <w:keepNext w:val="0"/>
      </w:pPr>
      <w:r>
        <w:rPr>
          <w:b/>
        </w:rPr>
        <w:t xml:space="preserve">Conclusion and placement. </w:t>
      </w:r>
      <w:r>
        <w:t>Include the explicit entry and the character of the king. Public priority: anchor.</w:t>
      </w:r>
    </w:p>
    <w:p>
      <w:pPr>
        <w:pStyle w:val="Heading2"/>
      </w:pPr>
      <w:r>
        <w:t>C44 The rejected shepherd and thirty silver pieces</w:t>
      </w:r>
    </w:p>
    <w:p>
      <w:pPr>
        <w:keepNext/>
      </w:pPr>
      <w:r>
        <w:rPr>
          <w:i/>
        </w:rPr>
        <w:t>Postexilic prophetic expectation | Canonical Pattern | Explicit</w:t>
      </w:r>
    </w:p>
    <w:p>
      <w:pPr>
        <w:keepNext/>
      </w:pPr>
      <w:r>
        <w:rPr>
          <w:b/>
        </w:rPr>
        <w:t xml:space="preserve">Scripture. </w:t>
      </w:r>
      <w:r>
        <w:t>Zechariah 11:4–17; Jeremiah 19; 32 as related imagery → Matthew 27:3–10</w:t>
      </w:r>
      <w:r>
        <w:rPr>
          <w:vertAlign w:val="superscript"/>
        </w:rPr>
        <w:footnoteReference w:id="66"/>
      </w:r>
    </w:p>
    <w:p>
      <w:pPr>
        <w:keepNext w:val="0"/>
      </w:pPr>
      <w:r>
        <w:rPr>
          <w:b/>
        </w:rPr>
        <w:t xml:space="preserve">Original context. </w:t>
      </w:r>
      <w:r>
        <w:t>A shepherd’s service is contemptuously valued; money is thrown into the Lord’s house and symbolic covenant bonds are broken.</w:t>
      </w:r>
    </w:p>
    <w:p>
      <w:pPr>
        <w:keepNext w:val="0"/>
      </w:pPr>
      <w:r>
        <w:rPr>
          <w:b/>
        </w:rPr>
        <w:t xml:space="preserve">Connection and explicitness. </w:t>
      </w:r>
      <w:r>
        <w:t>Matthew interprets Judas’s money and the field through prophetic fulfillment, but attributes the citation to Jeremiah while wording closely resembles Zechariah.</w:t>
      </w:r>
    </w:p>
    <w:p>
      <w:pPr>
        <w:keepNext w:val="0"/>
      </w:pPr>
      <w:r>
        <w:rPr>
          <w:b/>
        </w:rPr>
        <w:t xml:space="preserve">Language and text. </w:t>
      </w:r>
      <w:r>
        <w:t>Attribution and combined imagery matter more than turning the amount into a mathematical code. The composite-source explanation is an interpretation.</w:t>
      </w:r>
    </w:p>
    <w:p>
      <w:pPr>
        <w:keepNext w:val="0"/>
      </w:pPr>
      <w:r>
        <w:rPr>
          <w:b/>
        </w:rPr>
        <w:t xml:space="preserve">Jewish and historical setting. </w:t>
      </w:r>
      <w:r>
        <w:t>Read this within Israel’s own narrative, worship or covenant life. No universal pre-Christian messianic consensus is asserted for this particular connection.</w:t>
      </w:r>
    </w:p>
    <w:p>
      <w:pPr>
        <w:keepNext w:val="0"/>
      </w:pPr>
      <w:r>
        <w:rPr>
          <w:b/>
        </w:rPr>
        <w:t xml:space="preserve">Assessment. </w:t>
      </w:r>
      <w:r>
        <w:t>The cited biblical argument is the primary evidence. The interpretation is bounded by the original setting and the stated counterargument, rather than by an assumed scholarly consensus.</w:t>
      </w:r>
    </w:p>
    <w:p>
      <w:pPr>
        <w:keepNext w:val="0"/>
      </w:pPr>
      <w:r>
        <w:rPr>
          <w:b/>
        </w:rPr>
        <w:t xml:space="preserve">Strongest counterargument. </w:t>
      </w:r>
      <w:r>
        <w:t>Simply saying Zechariah predicted Judas exactly hides Matthew’s actual attribution and the differences in actions.</w:t>
      </w:r>
    </w:p>
    <w:p>
      <w:pPr>
        <w:keepNext w:val="0"/>
      </w:pPr>
      <w:r>
        <w:rPr>
          <w:b/>
        </w:rPr>
        <w:t xml:space="preserve">Conclusion and placement. </w:t>
      </w:r>
      <w:r>
        <w:t>Keep optional with the attribution difficulty visible; do not present one explanation as uncontested. Public priority: optional or research.</w:t>
      </w:r>
    </w:p>
    <w:p>
      <w:pPr>
        <w:pStyle w:val="Heading2"/>
      </w:pPr>
      <w:r>
        <w:t>C45 The pierced one and mourning</w:t>
      </w:r>
    </w:p>
    <w:p>
      <w:pPr>
        <w:keepNext/>
      </w:pPr>
      <w:r>
        <w:rPr>
          <w:i/>
        </w:rPr>
        <w:t>Postexilic prophetic expectation | Messianic Prophecy | Explicit</w:t>
      </w:r>
    </w:p>
    <w:p>
      <w:pPr>
        <w:keepNext/>
      </w:pPr>
      <w:r>
        <w:rPr>
          <w:b/>
        </w:rPr>
        <w:t xml:space="preserve">Scripture. </w:t>
      </w:r>
      <w:r>
        <w:t>Zechariah 12:10–13:1 → John 19:34–37; Revelation 1:7</w:t>
      </w:r>
      <w:r>
        <w:rPr>
          <w:vertAlign w:val="superscript"/>
        </w:rPr>
        <w:footnoteReference w:id="67"/>
      </w:r>
    </w:p>
    <w:p>
      <w:pPr>
        <w:keepNext w:val="0"/>
      </w:pPr>
      <w:r>
        <w:rPr>
          <w:b/>
        </w:rPr>
        <w:t xml:space="preserve">Original context. </w:t>
      </w:r>
      <w:r>
        <w:t>Grace and supplication lead to mourning over a pierced figure, followed by cleansing imagery.</w:t>
      </w:r>
    </w:p>
    <w:p>
      <w:pPr>
        <w:keepNext w:val="0"/>
      </w:pPr>
      <w:r>
        <w:rPr>
          <w:b/>
        </w:rPr>
        <w:t xml:space="preserve">Connection and explicitness. </w:t>
      </w:r>
      <w:r>
        <w:t>John explicitly cites the pierced-one passage after Jesus’s spear wound; Revelation joins the text to Christ’s coming.</w:t>
      </w:r>
    </w:p>
    <w:p>
      <w:pPr>
        <w:keepNext w:val="0"/>
      </w:pPr>
      <w:r>
        <w:rPr>
          <w:b/>
        </w:rPr>
        <w:t xml:space="preserve">Language and text. </w:t>
      </w:r>
      <w:r>
        <w:t>Daqar (דָּקַר), pierce, is distinct from Psalm 22’s textual problem. Hebrew shifts between me and him; variants and the speaker–victim relation require care.</w:t>
      </w:r>
    </w:p>
    <w:p>
      <w:pPr>
        <w:keepNext w:val="0"/>
      </w:pPr>
      <w:r>
        <w:rPr>
          <w:b/>
        </w:rPr>
        <w:t xml:space="preserve">Jewish and historical setting. </w:t>
      </w:r>
      <w:r>
        <w:t>The oracle concerns Jerusalem’s mourning and cleansing within its prophetic setting.</w:t>
      </w:r>
    </w:p>
    <w:p>
      <w:pPr>
        <w:keepNext w:val="0"/>
      </w:pPr>
      <w:r>
        <w:rPr>
          <w:b/>
        </w:rPr>
        <w:t xml:space="preserve">Assessment. </w:t>
      </w:r>
      <w:r>
        <w:t>NET preserves the difficult pronoun reading. Proposed motives for variants remain editorial judgments, not established facts about scribes.</w:t>
      </w:r>
      <w:r>
        <w:rPr>
          <w:vertAlign w:val="superscript"/>
        </w:rPr>
        <w:footnoteReference w:id="68"/>
      </w:r>
    </w:p>
    <w:p>
      <w:pPr>
        <w:keepNext w:val="0"/>
      </w:pPr>
      <w:r>
        <w:rPr>
          <w:b/>
        </w:rPr>
        <w:t xml:space="preserve">Strongest counterargument. </w:t>
      </w:r>
      <w:r>
        <w:t>Original identity and pronouns remain disputed. A confident image cannot conceal those questions.</w:t>
      </w:r>
    </w:p>
    <w:p>
      <w:pPr>
        <w:keepNext w:val="0"/>
      </w:pPr>
      <w:r>
        <w:rPr>
          <w:b/>
        </w:rPr>
        <w:t xml:space="preserve">Conclusion and placement. </w:t>
      </w:r>
      <w:r>
        <w:t>Include John’s application and distinguish the separate Psalm 22 issue. Do not turn Jerusalem’s mourning into collective blame on later Jews. Public priority: anchor.</w:t>
      </w:r>
    </w:p>
    <w:p>
      <w:pPr>
        <w:pStyle w:val="Heading2"/>
      </w:pPr>
      <w:r>
        <w:t>C46 The shepherd struck and the flock scattered</w:t>
      </w:r>
    </w:p>
    <w:p>
      <w:pPr>
        <w:keepNext/>
      </w:pPr>
      <w:r>
        <w:rPr>
          <w:i/>
        </w:rPr>
        <w:t>Postexilic prophetic expectation | Messianic Prophecy | Explicit</w:t>
      </w:r>
    </w:p>
    <w:p>
      <w:pPr>
        <w:keepNext/>
      </w:pPr>
      <w:r>
        <w:rPr>
          <w:b/>
        </w:rPr>
        <w:t xml:space="preserve">Scripture. </w:t>
      </w:r>
      <w:r>
        <w:t>Zechariah 13:7–9 → Mark 14:27–31; Matthew 26:31–35</w:t>
      </w:r>
      <w:r>
        <w:rPr>
          <w:vertAlign w:val="superscript"/>
        </w:rPr>
        <w:footnoteReference w:id="69"/>
      </w:r>
    </w:p>
    <w:p>
      <w:pPr>
        <w:keepNext w:val="0"/>
      </w:pPr>
      <w:r>
        <w:rPr>
          <w:b/>
        </w:rPr>
        <w:t xml:space="preserve">Original context. </w:t>
      </w:r>
      <w:r>
        <w:t>A sword strikes the shepherd; scattering is followed by testing and restoration of a remnant.</w:t>
      </w:r>
    </w:p>
    <w:p>
      <w:pPr>
        <w:keepNext w:val="0"/>
      </w:pPr>
      <w:r>
        <w:rPr>
          <w:b/>
        </w:rPr>
        <w:t xml:space="preserve">Connection and explicitness. </w:t>
      </w:r>
      <w:r>
        <w:t>Jesus explicitly applies the striking and scattering to his suffering and the disciples’ failure, then promises to go before them after rising.</w:t>
      </w:r>
    </w:p>
    <w:p>
      <w:pPr>
        <w:keepNext w:val="0"/>
      </w:pPr>
      <w:r>
        <w:rPr>
          <w:b/>
        </w:rPr>
        <w:t xml:space="preserve">Language and text. </w:t>
      </w:r>
      <w:r>
        <w:t>The Gospel’s I will strike and the prophetic imperative should be compared in their own settings rather than silently rewritten.</w:t>
      </w:r>
    </w:p>
    <w:p>
      <w:pPr>
        <w:keepNext w:val="0"/>
      </w:pPr>
      <w:r>
        <w:rPr>
          <w:b/>
        </w:rPr>
        <w:t xml:space="preserve">Jewish and historical setting. </w:t>
      </w:r>
      <w:r>
        <w:t>Read this within Israel’s own narrative, worship or covenant life. No universal pre-Christian messianic consensus is asserted for this particular connection.</w:t>
      </w:r>
    </w:p>
    <w:p>
      <w:pPr>
        <w:keepNext w:val="0"/>
      </w:pPr>
      <w:r>
        <w:rPr>
          <w:b/>
        </w:rPr>
        <w:t xml:space="preserve">Assessment. </w:t>
      </w:r>
      <w:r>
        <w:t>The cited biblical argument is the primary evidence. The interpretation is bounded by the original setting and the stated counterargument, rather than by an assumed scholarly consensus.</w:t>
      </w:r>
    </w:p>
    <w:p>
      <w:pPr>
        <w:keepNext w:val="0"/>
      </w:pPr>
      <w:r>
        <w:rPr>
          <w:b/>
        </w:rPr>
        <w:t xml:space="preserve">Strongest counterargument. </w:t>
      </w:r>
      <w:r>
        <w:t>The quotation does not settle every feature of Zechariah’s refining sequence or its eschatological timing.</w:t>
      </w:r>
    </w:p>
    <w:p>
      <w:pPr>
        <w:keepNext w:val="0"/>
      </w:pPr>
      <w:r>
        <w:rPr>
          <w:b/>
        </w:rPr>
        <w:t xml:space="preserve">Conclusion and placement. </w:t>
      </w:r>
      <w:r>
        <w:t>Retain suffering, scattering and promised regathering without making the disciples’ failure the entire story. Public priority: short connection.</w:t>
      </w:r>
    </w:p>
    <w:p>
      <w:pPr>
        <w:pStyle w:val="Heading2"/>
      </w:pPr>
      <w:r>
        <w:t>C47 The messenger and the coming Lord</w:t>
      </w:r>
    </w:p>
    <w:p>
      <w:pPr>
        <w:keepNext/>
      </w:pPr>
      <w:r>
        <w:rPr>
          <w:i/>
        </w:rPr>
        <w:t>Postexilic prophetic expectation | Messianic Prophecy | Explicit</w:t>
      </w:r>
    </w:p>
    <w:p>
      <w:pPr>
        <w:keepNext/>
      </w:pPr>
      <w:r>
        <w:rPr>
          <w:b/>
        </w:rPr>
        <w:t xml:space="preserve">Scripture. </w:t>
      </w:r>
      <w:r>
        <w:t>Malachi 3:1–4; 4:5–6 → Mark 1:2–4; Matthew 11:10–14; Luke 1:16–17</w:t>
      </w:r>
      <w:r>
        <w:rPr>
          <w:vertAlign w:val="superscript"/>
        </w:rPr>
        <w:footnoteReference w:id="70"/>
      </w:r>
    </w:p>
    <w:p>
      <w:pPr>
        <w:keepNext w:val="0"/>
      </w:pPr>
      <w:r>
        <w:rPr>
          <w:b/>
        </w:rPr>
        <w:t xml:space="preserve">Original context. </w:t>
      </w:r>
      <w:r>
        <w:t>The postexilic community is confronted about justice and worship; a messenger precedes the Lord’s coming and purification.</w:t>
      </w:r>
    </w:p>
    <w:p>
      <w:pPr>
        <w:keepNext w:val="0"/>
      </w:pPr>
      <w:r>
        <w:rPr>
          <w:b/>
        </w:rPr>
        <w:t xml:space="preserve">Connection and explicitness. </w:t>
      </w:r>
      <w:r>
        <w:t>The Gospels explicitly identify John’s preparatory ministry through messenger and Elijah language in relation to Jesus.</w:t>
      </w:r>
    </w:p>
    <w:p>
      <w:pPr>
        <w:keepNext w:val="0"/>
      </w:pPr>
      <w:r>
        <w:rPr>
          <w:b/>
        </w:rPr>
        <w:t xml:space="preserve">Language and text. </w:t>
      </w:r>
      <w:r>
        <w:t>Malʾakh (מַלְאָךְ) means messenger and need not mean an angelic being. Luke specifies Elijah’s spirit and power, not reincarnation.</w:t>
      </w:r>
    </w:p>
    <w:p>
      <w:pPr>
        <w:keepNext w:val="0"/>
      </w:pPr>
      <w:r>
        <w:rPr>
          <w:b/>
        </w:rPr>
        <w:t xml:space="preserve">Jewish and historical setting. </w:t>
      </w:r>
      <w:r>
        <w:t>Read this within Israel’s own narrative, worship or covenant life. No universal pre-Christian messianic consensus is asserted for this particular connection.</w:t>
      </w:r>
    </w:p>
    <w:p>
      <w:pPr>
        <w:keepNext w:val="0"/>
      </w:pPr>
      <w:r>
        <w:rPr>
          <w:b/>
        </w:rPr>
        <w:t xml:space="preserve">Assessment. </w:t>
      </w:r>
      <w:r>
        <w:t>The cited biblical argument is the primary evidence. The interpretation is bounded by the original setting and the stated counterargument, rather than by an assumed scholarly consensus.</w:t>
      </w:r>
    </w:p>
    <w:p>
      <w:pPr>
        <w:keepNext w:val="0"/>
      </w:pPr>
      <w:r>
        <w:rPr>
          <w:b/>
        </w:rPr>
        <w:t xml:space="preserve">Strongest counterargument. </w:t>
      </w:r>
      <w:r>
        <w:t>A prophecy primarily about the preparer is not a physical portrait of Christ. The composite Mark citation should remain visible.</w:t>
      </w:r>
    </w:p>
    <w:p>
      <w:pPr>
        <w:keepNext w:val="0"/>
      </w:pPr>
      <w:r>
        <w:rPr>
          <w:b/>
        </w:rPr>
        <w:t xml:space="preserve">Conclusion and placement. </w:t>
      </w:r>
      <w:r>
        <w:t>Use as the threshold into the Gospel. Recall Isaiah briefly without duplicating C35. Public priority: anchor.</w:t>
      </w:r>
    </w:p>
    <w:p>
      <w:pPr>
        <w:pStyle w:val="Heading1"/>
      </w:pPr>
      <w:r>
        <w:t>Excluded claims ledger</w:t>
      </w:r>
    </w:p>
    <w:p>
      <w:pPr>
        <w:keepNext w:val="0"/>
      </w:pPr>
      <w:r>
        <w:t>These are rejected claims, not additional complete encounters. A rejected embellishment attached to an Explicit encounter does not downgrade its actual NT connection. The single parent ID identifies its location. Where no encounter is retained, the proposed pattern fails the threshold for this Journey. The type describes the proposed relationship, not an endorsement.</w:t>
      </w:r>
    </w:p>
    <w:p>
      <w:pPr>
        <w:pStyle w:val="Heading2"/>
      </w:pPr>
      <w:r>
        <w:t>R01 Adam s rib or sleep predicts particular wounds and burial</w:t>
      </w:r>
    </w:p>
    <w:p>
      <w:pPr>
        <w:keepNext/>
      </w:pPr>
      <w:r>
        <w:t>C01 | Type / Foreshadowing | Excluded / Speculative</w:t>
      </w:r>
    </w:p>
    <w:p>
      <w:pPr>
        <w:keepNext/>
      </w:pPr>
      <w:r>
        <w:rPr>
          <w:b/>
        </w:rPr>
        <w:t xml:space="preserve">Text to check. </w:t>
      </w:r>
      <w:r>
        <w:t>Genesis 2:21–23; Romans 5:14</w:t>
      </w:r>
      <w:r>
        <w:rPr>
          <w:vertAlign w:val="superscript"/>
        </w:rPr>
        <w:footnoteReference w:id="71"/>
      </w:r>
    </w:p>
    <w:p>
      <w:pPr>
        <w:keepNext w:val="0"/>
      </w:pPr>
      <w:r>
        <w:rPr>
          <w:b/>
        </w:rPr>
        <w:t xml:space="preserve">Reason for exclusion. </w:t>
      </w:r>
      <w:r>
        <w:t>Paul’s explicit comparison concerns representative disobedience and obedience. A bodily detail cannot inherit that authority without its own bridge.</w:t>
      </w:r>
    </w:p>
    <w:p>
      <w:pPr>
        <w:pStyle w:val="Heading2"/>
      </w:pPr>
      <w:r>
        <w:t>R02 Genesis 3 15 alone proves virgin conception</w:t>
      </w:r>
    </w:p>
    <w:p>
      <w:pPr>
        <w:keepNext/>
      </w:pPr>
      <w:r>
        <w:t>C02 | Promise | Excluded / Speculative</w:t>
      </w:r>
    </w:p>
    <w:p>
      <w:pPr>
        <w:keepNext/>
      </w:pPr>
      <w:r>
        <w:rPr>
          <w:b/>
        </w:rPr>
        <w:t xml:space="preserve">Text to check. </w:t>
      </w:r>
      <w:r>
        <w:t>Genesis 3:15; Matthew 1:18–25</w:t>
      </w:r>
      <w:r>
        <w:rPr>
          <w:vertAlign w:val="superscript"/>
        </w:rPr>
        <w:footnoteReference w:id="72"/>
      </w:r>
    </w:p>
    <w:p>
      <w:pPr>
        <w:keepNext w:val="0"/>
      </w:pPr>
      <w:r>
        <w:rPr>
          <w:b/>
        </w:rPr>
        <w:t xml:space="preserve">Reason for exclusion. </w:t>
      </w:r>
      <w:r>
        <w:t>The offspring expression is not a grammatical denial of human fatherhood. Teach virgin conception from the Gospel and qualify the earlier victory horizon.</w:t>
      </w:r>
    </w:p>
    <w:p>
      <w:pPr>
        <w:pStyle w:val="Heading2"/>
      </w:pPr>
      <w:r>
        <w:t>R03 Melchizedek certainly is the pre incarnate Jesus</w:t>
      </w:r>
    </w:p>
    <w:p>
      <w:pPr>
        <w:keepNext/>
      </w:pPr>
      <w:r>
        <w:t>C06 | Type / Foreshadowing | Excluded / Speculative</w:t>
      </w:r>
    </w:p>
    <w:p>
      <w:pPr>
        <w:keepNext/>
      </w:pPr>
      <w:r>
        <w:rPr>
          <w:b/>
        </w:rPr>
        <w:t xml:space="preserve">Text to check. </w:t>
      </w:r>
      <w:r>
        <w:t>Genesis 14:18–20; Hebrews 7:3</w:t>
      </w:r>
      <w:r>
        <w:rPr>
          <w:vertAlign w:val="superscript"/>
        </w:rPr>
        <w:footnoteReference w:id="73"/>
      </w:r>
    </w:p>
    <w:p>
      <w:pPr>
        <w:keepNext w:val="0"/>
      </w:pPr>
      <w:r>
        <w:rPr>
          <w:b/>
        </w:rPr>
        <w:t xml:space="preserve">Reason for exclusion. </w:t>
      </w:r>
      <w:r>
        <w:t>Hebrews describes likeness. Identity is a further debated proposal, not a necessary inference from missing genealogy.</w:t>
      </w:r>
    </w:p>
    <w:p>
      <w:pPr>
        <w:pStyle w:val="Heading2"/>
      </w:pPr>
      <w:r>
        <w:t>R04 Isaac was 33 on the precise site of Golgotha</w:t>
      </w:r>
    </w:p>
    <w:p>
      <w:pPr>
        <w:keepNext/>
      </w:pPr>
      <w:r>
        <w:t>C07 | Type / Foreshadowing | Excluded / Speculative</w:t>
      </w:r>
    </w:p>
    <w:p>
      <w:pPr>
        <w:keepNext/>
      </w:pPr>
      <w:r>
        <w:rPr>
          <w:b/>
        </w:rPr>
        <w:t xml:space="preserve">Text to check. </w:t>
      </w:r>
      <w:r>
        <w:t>Genesis 22:1–19; 2 Chronicles 3:1</w:t>
      </w:r>
      <w:r>
        <w:rPr>
          <w:vertAlign w:val="superscript"/>
        </w:rPr>
        <w:footnoteReference w:id="74"/>
      </w:r>
    </w:p>
    <w:p>
      <w:pPr>
        <w:keepNext w:val="0"/>
      </w:pPr>
      <w:r>
        <w:rPr>
          <w:b/>
        </w:rPr>
        <w:t xml:space="preserve">Reason for exclusion. </w:t>
      </w:r>
      <w:r>
        <w:t>Genesis supplies neither age nor the required geographical identity. A Moriah–temple connection does not establish Golgotha.</w:t>
      </w:r>
    </w:p>
    <w:p>
      <w:pPr>
        <w:pStyle w:val="Heading2"/>
      </w:pPr>
      <w:r>
        <w:t>R05 The thicket predicts the crown of thorns</w:t>
      </w:r>
    </w:p>
    <w:p>
      <w:pPr>
        <w:keepNext/>
      </w:pPr>
      <w:r>
        <w:t>C07 | Type / Foreshadowing | Excluded / Speculative</w:t>
      </w:r>
    </w:p>
    <w:p>
      <w:pPr>
        <w:keepNext/>
      </w:pPr>
      <w:r>
        <w:rPr>
          <w:b/>
        </w:rPr>
        <w:t xml:space="preserve">Text to check. </w:t>
      </w:r>
      <w:r>
        <w:t>Genesis 22:13; Matthew 27:29</w:t>
      </w:r>
      <w:r>
        <w:rPr>
          <w:vertAlign w:val="superscript"/>
        </w:rPr>
        <w:footnoteReference w:id="75"/>
      </w:r>
    </w:p>
    <w:p>
      <w:pPr>
        <w:keepNext w:val="0"/>
      </w:pPr>
      <w:r>
        <w:rPr>
          <w:b/>
        </w:rPr>
        <w:t xml:space="preserve">Reason for exclusion. </w:t>
      </w:r>
      <w:r>
        <w:t>The ram is offered in Isaac’s place. Neither passage identifies the thicket as a crown prediction; visual resemblance is insufficient.</w:t>
      </w:r>
    </w:p>
    <w:p>
      <w:pPr>
        <w:pStyle w:val="Heading2"/>
      </w:pPr>
      <w:r>
        <w:t>R06 The cupbearer and baker are the two crucified men</w:t>
      </w:r>
    </w:p>
    <w:p>
      <w:pPr>
        <w:keepNext/>
      </w:pPr>
      <w:r>
        <w:t>C09 | Canonical Pattern | Excluded / Speculative</w:t>
      </w:r>
    </w:p>
    <w:p>
      <w:pPr>
        <w:keepNext/>
      </w:pPr>
      <w:r>
        <w:rPr>
          <w:b/>
        </w:rPr>
        <w:t xml:space="preserve">Text to check. </w:t>
      </w:r>
      <w:r>
        <w:t>Genesis 40; Luke 23:32–43</w:t>
      </w:r>
      <w:r>
        <w:rPr>
          <w:vertAlign w:val="superscript"/>
        </w:rPr>
        <w:footnoteReference w:id="76"/>
      </w:r>
    </w:p>
    <w:p>
      <w:pPr>
        <w:keepNext w:val="0"/>
      </w:pPr>
      <w:r>
        <w:rPr>
          <w:b/>
        </w:rPr>
        <w:t xml:space="preserve">Reason for exclusion. </w:t>
      </w:r>
      <w:r>
        <w:t>The dreams concern royal judgment and Joseph’s path to release. No NT author supplies this mapping; actions and outcomes do not sustain it.</w:t>
      </w:r>
    </w:p>
    <w:p>
      <w:pPr>
        <w:pStyle w:val="Heading2"/>
      </w:pPr>
      <w:r>
        <w:t>R07 Joseph s prison is hell and Egypt always means sin</w:t>
      </w:r>
    </w:p>
    <w:p>
      <w:pPr>
        <w:keepNext/>
      </w:pPr>
      <w:r>
        <w:t>C09 | Canonical Pattern | Excluded / Speculative</w:t>
      </w:r>
    </w:p>
    <w:p>
      <w:pPr>
        <w:keepNext/>
      </w:pPr>
      <w:r>
        <w:rPr>
          <w:b/>
        </w:rPr>
        <w:t xml:space="preserve">Text to check. </w:t>
      </w:r>
      <w:r>
        <w:t>Genesis 39–41; 50:20; Matthew 2:13–15</w:t>
      </w:r>
      <w:r>
        <w:rPr>
          <w:vertAlign w:val="superscript"/>
        </w:rPr>
        <w:footnoteReference w:id="77"/>
      </w:r>
    </w:p>
    <w:p>
      <w:pPr>
        <w:keepNext w:val="0"/>
      </w:pPr>
      <w:r>
        <w:rPr>
          <w:b/>
        </w:rPr>
        <w:t xml:space="preserve">Reason for exclusion. </w:t>
      </w:r>
      <w:r>
        <w:t>These fixed symbolic equations ignore varied settings. Egypt is also a refuge in Matthew. Keep the bounded rejected-deliverer pattern.</w:t>
      </w:r>
    </w:p>
    <w:p>
      <w:pPr>
        <w:pStyle w:val="Heading2"/>
      </w:pPr>
      <w:r>
        <w:t>R08 Every sanctuary colour and measurement encodes a Gospel detail</w:t>
      </w:r>
    </w:p>
    <w:p>
      <w:pPr>
        <w:keepNext/>
      </w:pPr>
      <w:r>
        <w:t>C15 | Type / Foreshadowing | Excluded / Speculative</w:t>
      </w:r>
    </w:p>
    <w:p>
      <w:pPr>
        <w:keepNext/>
      </w:pPr>
      <w:r>
        <w:rPr>
          <w:b/>
        </w:rPr>
        <w:t xml:space="preserve">Text to check. </w:t>
      </w:r>
      <w:r>
        <w:t>Exodus 25–31; Hebrews 8–10</w:t>
      </w:r>
      <w:r>
        <w:rPr>
          <w:vertAlign w:val="superscript"/>
        </w:rPr>
        <w:footnoteReference w:id="78"/>
      </w:r>
    </w:p>
    <w:p>
      <w:pPr>
        <w:keepNext w:val="0"/>
      </w:pPr>
      <w:r>
        <w:rPr>
          <w:b/>
        </w:rPr>
        <w:t xml:space="preserve">Reason for exclusion. </w:t>
      </w:r>
      <w:r>
        <w:t>Hebrews argues about sanctuary, access and sacrifice; it supplies no unlimited dictionary for materials and measurements.</w:t>
      </w:r>
    </w:p>
    <w:p>
      <w:pPr>
        <w:pStyle w:val="Heading2"/>
      </w:pPr>
      <w:r>
        <w:t>R09 The serpent proves that Jesus became morally sinful</w:t>
      </w:r>
    </w:p>
    <w:p>
      <w:pPr>
        <w:keepNext/>
      </w:pPr>
      <w:r>
        <w:t>C18 | Type / Foreshadowing | Excluded / Speculative</w:t>
      </w:r>
    </w:p>
    <w:p>
      <w:pPr>
        <w:keepNext/>
      </w:pPr>
      <w:r>
        <w:rPr>
          <w:b/>
        </w:rPr>
        <w:t xml:space="preserve">Text to check. </w:t>
      </w:r>
      <w:r>
        <w:t>Numbers 21:4–9; John 3:14–17; Hebrews 4:15</w:t>
      </w:r>
      <w:r>
        <w:rPr>
          <w:vertAlign w:val="superscript"/>
        </w:rPr>
        <w:footnoteReference w:id="79"/>
      </w:r>
    </w:p>
    <w:p>
      <w:pPr>
        <w:keepNext w:val="0"/>
      </w:pPr>
      <w:r>
        <w:rPr>
          <w:b/>
        </w:rPr>
        <w:t xml:space="preserve">Reason for exclusion. </w:t>
      </w:r>
      <w:r>
        <w:t>Jesus compares lifting up and life for believers. Bearing sin is not committing sin, and moral identity with the serpent is not the analogy.</w:t>
      </w:r>
    </w:p>
    <w:p>
      <w:pPr>
        <w:pStyle w:val="Heading2"/>
      </w:pPr>
      <w:r>
        <w:t>R10 Psalm 22 16 has no textual question</w:t>
      </w:r>
    </w:p>
    <w:p>
      <w:pPr>
        <w:keepNext/>
      </w:pPr>
      <w:r>
        <w:t>C25 | Canonical Pattern | Excluded / Speculative</w:t>
      </w:r>
    </w:p>
    <w:p>
      <w:pPr>
        <w:keepNext/>
      </w:pPr>
      <w:r>
        <w:rPr>
          <w:b/>
        </w:rPr>
        <w:t xml:space="preserve">Text to check. </w:t>
      </w:r>
      <w:r>
        <w:t>Psalm 22:16; John 19:23–24</w:t>
      </w:r>
      <w:r>
        <w:rPr>
          <w:vertAlign w:val="superscript"/>
        </w:rPr>
        <w:footnoteReference w:id="80"/>
      </w:r>
    </w:p>
    <w:p>
      <w:pPr>
        <w:keepNext w:val="0"/>
      </w:pPr>
      <w:r>
        <w:rPr>
          <w:b/>
        </w:rPr>
        <w:t xml:space="preserve">Reason for exclusion. </w:t>
      </w:r>
      <w:r>
        <w:t>The forms differ. The explicit garment-lot quotation cannot resolve the separate hands-and-feet reading.</w:t>
      </w:r>
    </w:p>
    <w:p>
      <w:pPr>
        <w:pStyle w:val="Heading2"/>
      </w:pPr>
      <w:r>
        <w:t>R11 Jonah necessarily died and rose physically</w:t>
      </w:r>
    </w:p>
    <w:p>
      <w:pPr>
        <w:keepNext/>
      </w:pPr>
      <w:r>
        <w:t>C30 | Type / Foreshadowing | Excluded / Speculative</w:t>
      </w:r>
    </w:p>
    <w:p>
      <w:pPr>
        <w:keepNext/>
      </w:pPr>
      <w:r>
        <w:rPr>
          <w:b/>
        </w:rPr>
        <w:t xml:space="preserve">Text to check. </w:t>
      </w:r>
      <w:r>
        <w:t>Jonah 2:1–10; Matthew 12:40</w:t>
      </w:r>
      <w:r>
        <w:rPr>
          <w:vertAlign w:val="superscript"/>
        </w:rPr>
        <w:footnoteReference w:id="81"/>
      </w:r>
    </w:p>
    <w:p>
      <w:pPr>
        <w:keepNext w:val="0"/>
      </w:pPr>
      <w:r>
        <w:rPr>
          <w:b/>
        </w:rPr>
        <w:t xml:space="preserve">Reason for exclusion. </w:t>
      </w:r>
      <w:r>
        <w:t>Death-like language supports distress and rescue; the narrative does not explicitly report death. The analogy does not require identity in every feature.</w:t>
      </w:r>
    </w:p>
    <w:p>
      <w:pPr>
        <w:pStyle w:val="Heading2"/>
      </w:pPr>
      <w:r>
        <w:t>R12 All Jews before Jesus expected a dying servant Messiah</w:t>
      </w:r>
    </w:p>
    <w:p>
      <w:pPr>
        <w:keepNext/>
      </w:pPr>
      <w:r>
        <w:t>C36 | Messianic Prophecy | Excluded / Speculative</w:t>
      </w:r>
    </w:p>
    <w:p>
      <w:pPr>
        <w:keepNext/>
      </w:pPr>
      <w:r>
        <w:rPr>
          <w:b/>
        </w:rPr>
        <w:t xml:space="preserve">Text to check. </w:t>
      </w:r>
      <w:r>
        <w:t>Isaiah 41:8–9; 49:3–6; 53; later Sanhedrin 98a reception</w:t>
      </w:r>
      <w:r>
        <w:rPr>
          <w:vertAlign w:val="superscript"/>
        </w:rPr>
        <w:footnoteReference w:id="82"/>
      </w:r>
    </w:p>
    <w:p>
      <w:pPr>
        <w:keepNext w:val="0"/>
      </w:pPr>
      <w:r>
        <w:rPr>
          <w:b/>
        </w:rPr>
        <w:t xml:space="preserve">Reason for exclusion. </w:t>
      </w:r>
      <w:r>
        <w:t>Corporate and individual readings must be acknowledged. A later rabbinic messianic reading establishes reception diversity, not universal prior consensus.</w:t>
      </w:r>
      <w:r>
        <w:rPr>
          <w:vertAlign w:val="superscript"/>
        </w:rPr>
        <w:footnoteReference w:id="83"/>
      </w:r>
    </w:p>
    <w:p>
      <w:pPr>
        <w:pStyle w:val="Heading2"/>
      </w:pPr>
      <w:r>
        <w:t>R13 Daniel establishes an independently demonstrated exact date prediction of Jesus</w:t>
      </w:r>
    </w:p>
    <w:p>
      <w:pPr>
        <w:keepNext/>
      </w:pPr>
      <w:r>
        <w:t>C42 | Messianic Prophecy | Excluded / Speculative</w:t>
      </w:r>
    </w:p>
    <w:p>
      <w:pPr>
        <w:keepNext/>
      </w:pPr>
      <w:r>
        <w:rPr>
          <w:b/>
        </w:rPr>
        <w:t xml:space="preserve">Text to check. </w:t>
      </w:r>
      <w:r>
        <w:t>Daniel 9:24–27</w:t>
      </w:r>
      <w:r>
        <w:rPr>
          <w:vertAlign w:val="superscript"/>
        </w:rPr>
        <w:footnoteReference w:id="84"/>
      </w:r>
    </w:p>
    <w:p>
      <w:pPr>
        <w:keepNext w:val="0"/>
      </w:pPr>
      <w:r>
        <w:rPr>
          <w:b/>
        </w:rPr>
        <w:t xml:space="preserve">Reason for exclusion. </w:t>
      </w:r>
      <w:r>
        <w:t>The completed focused audit finds no uniquely established start, segmentation, calendar or endpoint. Nehemiah supplies no decree day, and major printed date pairs do not reproduce 173,880 days under one consistent calendar. Exact-day verdict: Unsustainable as a demonstrated claim. This excludes the proof claim, not every Christian reading of Daniel 9.</w:t>
      </w:r>
      <w:r>
        <w:rPr>
          <w:vertAlign w:val="superscript"/>
        </w:rPr>
        <w:footnoteReference w:id="85"/>
      </w:r>
    </w:p>
    <w:p>
      <w:pPr>
        <w:pStyle w:val="Heading2"/>
      </w:pPr>
      <w:r>
        <w:t>R14 Floating olive oil predicts walking on water</w:t>
      </w:r>
    </w:p>
    <w:p>
      <w:pPr>
        <w:keepNext/>
      </w:pPr>
      <w:r>
        <w:t>No retained encounter | Canonical Pattern | Excluded / Speculative</w:t>
      </w:r>
    </w:p>
    <w:p>
      <w:pPr>
        <w:keepNext/>
      </w:pPr>
      <w:r>
        <w:rPr>
          <w:b/>
        </w:rPr>
        <w:t xml:space="preserve">Text to check. </w:t>
      </w:r>
      <w:r>
        <w:t>Matthew 14:22–33; Mark 6:45–52</w:t>
      </w:r>
      <w:r>
        <w:rPr>
          <w:vertAlign w:val="superscript"/>
        </w:rPr>
        <w:footnoteReference w:id="86"/>
      </w:r>
    </w:p>
    <w:p>
      <w:pPr>
        <w:keepNext w:val="0"/>
      </w:pPr>
      <w:r>
        <w:rPr>
          <w:b/>
        </w:rPr>
        <w:t xml:space="preserve">Reason for exclusion. </w:t>
      </w:r>
      <w:r>
        <w:t>Neither Gospel identifies oil as the mechanism or scriptural reason for the sign. A physical property and word association supply no OT bridge.</w:t>
      </w:r>
    </w:p>
    <w:p>
      <w:pPr>
        <w:pStyle w:val="Heading2"/>
      </w:pPr>
      <w:r>
        <w:t>R15 Exactly six piercings constitute a prophetic number</w:t>
      </w:r>
    </w:p>
    <w:p>
      <w:pPr>
        <w:keepNext/>
      </w:pPr>
      <w:r>
        <w:t>No retained encounter | Canonical Pattern | Excluded / Speculative</w:t>
      </w:r>
    </w:p>
    <w:p>
      <w:pPr>
        <w:keepNext/>
      </w:pPr>
      <w:r>
        <w:rPr>
          <w:b/>
        </w:rPr>
        <w:t xml:space="preserve">Text to check. </w:t>
      </w:r>
      <w:r>
        <w:t>John 19:34; 20:25–27</w:t>
      </w:r>
      <w:r>
        <w:rPr>
          <w:vertAlign w:val="superscript"/>
        </w:rPr>
        <w:footnoteReference w:id="87"/>
      </w:r>
    </w:p>
    <w:p>
      <w:pPr>
        <w:keepNext w:val="0"/>
      </w:pPr>
      <w:r>
        <w:rPr>
          <w:b/>
        </w:rPr>
        <w:t xml:space="preserve">Reason for exclusion. </w:t>
      </w:r>
      <w:r>
        <w:t>The texts supply no inspired total of six. Counts depend on assumptions about nails and injuries that are not reported.</w:t>
      </w:r>
    </w:p>
    <w:p>
      <w:pPr>
        <w:pStyle w:val="Heading2"/>
      </w:pPr>
      <w:r>
        <w:t>R16 Six hours of darkness form a prophetic match</w:t>
      </w:r>
    </w:p>
    <w:p>
      <w:pPr>
        <w:keepNext/>
      </w:pPr>
      <w:r>
        <w:t>No retained encounter | Canonical Pattern | Excluded / Speculative</w:t>
      </w:r>
    </w:p>
    <w:p>
      <w:pPr>
        <w:keepNext/>
      </w:pPr>
      <w:r>
        <w:rPr>
          <w:b/>
        </w:rPr>
        <w:t xml:space="preserve">Text to check. </w:t>
      </w:r>
      <w:r>
        <w:t>Matthew 27:45; Mark 15:33; Luke 23:44</w:t>
      </w:r>
      <w:r>
        <w:rPr>
          <w:vertAlign w:val="superscript"/>
        </w:rPr>
        <w:footnoteReference w:id="88"/>
      </w:r>
    </w:p>
    <w:p>
      <w:pPr>
        <w:keepNext w:val="0"/>
      </w:pPr>
      <w:r>
        <w:rPr>
          <w:b/>
        </w:rPr>
        <w:t xml:space="preserve">Reason for exclusion. </w:t>
      </w:r>
      <w:r>
        <w:t>The interval is the sixth to ninth hour, approximately three hours. It must not be confused with the wider crucifixion duration.</w:t>
      </w:r>
    </w:p>
    <w:p>
      <w:pPr>
        <w:pStyle w:val="Heading2"/>
      </w:pPr>
      <w:r>
        <w:t>R17 Matching names or numerical totals independently prove fulfillment</w:t>
      </w:r>
    </w:p>
    <w:p>
      <w:pPr>
        <w:keepNext/>
      </w:pPr>
      <w:r>
        <w:t>No retained encounter | Canonical Pattern | Excluded / Speculative</w:t>
      </w:r>
    </w:p>
    <w:p>
      <w:pPr>
        <w:keepNext/>
      </w:pPr>
      <w:r>
        <w:rPr>
          <w:b/>
        </w:rPr>
        <w:t xml:space="preserve">Text to check. </w:t>
      </w:r>
      <w:r>
        <w:t>Luke 24:27, 44–47</w:t>
      </w:r>
      <w:r>
        <w:rPr>
          <w:vertAlign w:val="superscript"/>
        </w:rPr>
        <w:footnoteReference w:id="89"/>
      </w:r>
    </w:p>
    <w:p>
      <w:pPr>
        <w:keepNext w:val="0"/>
      </w:pPr>
      <w:r>
        <w:rPr>
          <w:b/>
        </w:rPr>
        <w:t xml:space="preserve">Reason for exclusion. </w:t>
      </w:r>
      <w:r>
        <w:t>After-the-fact selection of spellings and values lacks a controlled bridge. No hidden-code score or calculated probability is warranted.</w:t>
      </w:r>
    </w:p>
    <w:p>
      <w:pPr>
        <w:pStyle w:val="Heading2"/>
      </w:pPr>
      <w:r>
        <w:t>R18 Hosea 6 2 explicitly predicts Jesus s third day resurrection</w:t>
      </w:r>
    </w:p>
    <w:p>
      <w:pPr>
        <w:keepNext/>
      </w:pPr>
      <w:r>
        <w:t>No retained encounter | Canonical Pattern | Excluded / Speculative</w:t>
      </w:r>
    </w:p>
    <w:p>
      <w:pPr>
        <w:keepNext/>
      </w:pPr>
      <w:r>
        <w:rPr>
          <w:b/>
        </w:rPr>
        <w:t xml:space="preserve">Text to check. </w:t>
      </w:r>
      <w:r>
        <w:t>Hosea 6:1–3; 1 Corinthians 15:4</w:t>
      </w:r>
      <w:r>
        <w:rPr>
          <w:vertAlign w:val="superscript"/>
        </w:rPr>
        <w:footnoteReference w:id="90"/>
      </w:r>
    </w:p>
    <w:p>
      <w:pPr>
        <w:keepNext w:val="0"/>
      </w:pPr>
      <w:r>
        <w:rPr>
          <w:b/>
        </w:rPr>
        <w:t xml:space="preserve">Reason for exclusion. </w:t>
      </w:r>
      <w:r>
        <w:t>Hosea speaks plurally about restoration; Paul does not name Hosea here. A possible wider resonance is not a direct explicit prediction.</w:t>
      </w:r>
    </w:p>
    <w:p>
      <w:pPr>
        <w:keepNext w:val="0"/>
      </w:pPr>
      <w:r>
        <w:t>Other familiar suggestions, such as Boaz as redeemer, Rahab’s scarlet cord or the entire David–Goliath scene as a coded passion narrative, are not established public encounters in this report. A future proposal should supply its original setting, specific NT bridge and serious counter-reading before receiving a rating. This limits the present recommendation; it does not deny these texts’ Christian theological significance.</w:t>
      </w:r>
    </w:p>
    <w:p>
      <w:pPr>
        <w:pStyle w:val="Heading1"/>
      </w:pPr>
      <w:r>
        <w:t>Look Closer recommendations</w:t>
      </w:r>
    </w:p>
    <w:p>
      <w:pPr>
        <w:keepNext w:val="0"/>
      </w:pPr>
      <w:r>
        <w:t>Four priority opportunities address questions likely to affect understanding of the primary narrative. Conditional options should appear only if their passages receive enough attention to need them. This is not a panel quota; a short ordinary-language note may serve better than a separate feature.</w:t>
      </w:r>
    </w:p>
    <w:p>
      <w:pPr>
        <w:pStyle w:val="Heading2"/>
      </w:pPr>
      <w:r>
        <w:t>C05 with C02 cross reference Offspring</w:t>
      </w:r>
    </w:p>
    <w:p>
      <w:pPr>
        <w:keepNext/>
      </w:pPr>
      <w:r>
        <w:t>Priority. זֶרַע / σπέρμα (zeraʿ / sperma).</w:t>
      </w:r>
    </w:p>
    <w:p>
      <w:pPr>
        <w:keepNext w:val="0"/>
      </w:pPr>
      <w:r>
        <w:t>Explain collective language and Paul’s representative focus. The singular noun alone does not prove that Genesis could only refer to one descendant. One shared explanation avoids repeating the lesson.</w:t>
      </w:r>
      <w:r>
        <w:rPr>
          <w:vertAlign w:val="superscript"/>
        </w:rPr>
        <w:footnoteReference w:id="91"/>
      </w:r>
    </w:p>
    <w:p>
      <w:pPr>
        <w:pStyle w:val="Heading2"/>
      </w:pPr>
      <w:r>
        <w:t>C25 Like a lion and they dug</w:t>
      </w:r>
    </w:p>
    <w:p>
      <w:pPr>
        <w:keepNext/>
      </w:pPr>
      <w:r>
        <w:t>Priority. כָּאֲרִי / ὤρυξαν (kaʾari / ōryxan).</w:t>
      </w:r>
    </w:p>
    <w:p>
      <w:pPr>
        <w:keepNext w:val="0"/>
      </w:pPr>
      <w:r>
        <w:t>Explain why Psalm 22:16 differs across translations. Separate this textual issue from the secure NT uses. A disputed letter should not become an undisputed picture of nail wounds.</w:t>
      </w:r>
      <w:r>
        <w:rPr>
          <w:vertAlign w:val="superscript"/>
        </w:rPr>
        <w:footnoteReference w:id="92"/>
      </w:r>
    </w:p>
    <w:p>
      <w:pPr>
        <w:pStyle w:val="Heading2"/>
      </w:pPr>
      <w:r>
        <w:t>C31 Young woman and virgin</w:t>
      </w:r>
    </w:p>
    <w:p>
      <w:pPr>
        <w:keepNext/>
      </w:pPr>
      <w:r>
        <w:t>Priority. עַלְמָה / παρθένος (ʿalmah / parthenos).</w:t>
      </w:r>
    </w:p>
    <w:p>
      <w:pPr>
        <w:keepNext w:val="0"/>
      </w:pPr>
      <w:r>
        <w:t>Distinguish the Hebrew word, Greek translation and Matthew’s explicit conception narrative. Context and NT application carry the Christian claim, not an overstated Hebrew gloss.</w:t>
      </w:r>
      <w:r>
        <w:rPr>
          <w:vertAlign w:val="superscript"/>
        </w:rPr>
        <w:footnoteReference w:id="93"/>
      </w:r>
    </w:p>
    <w:p>
      <w:pPr>
        <w:pStyle w:val="Heading2"/>
      </w:pPr>
      <w:r>
        <w:t>C41 Like a human being</w:t>
      </w:r>
    </w:p>
    <w:p>
      <w:pPr>
        <w:keepNext/>
      </w:pPr>
      <w:r>
        <w:t>Priority. כְּבַר אֱנָשׁ (kebar ʾenash).</w:t>
      </w:r>
    </w:p>
    <w:p>
      <w:pPr>
        <w:keepNext w:val="0"/>
      </w:pPr>
      <w:r>
        <w:t>Explain the human figure, holy ones and direction of approach to the Ancient of Days before showing Jesus’s application. This also prevents a misleading visual.</w:t>
      </w:r>
      <w:r>
        <w:rPr>
          <w:vertAlign w:val="superscript"/>
        </w:rPr>
        <w:footnoteReference w:id="94"/>
      </w:r>
    </w:p>
    <w:p>
      <w:pPr>
        <w:pStyle w:val="Heading2"/>
      </w:pPr>
      <w:r>
        <w:t>C07 Figuratively or in a figure</w:t>
      </w:r>
    </w:p>
    <w:p>
      <w:pPr>
        <w:keepNext/>
      </w:pPr>
      <w:r>
        <w:t>Conditional. ἐν παραβολῇ (en parabolē).</w:t>
      </w:r>
    </w:p>
    <w:p>
      <w:pPr>
        <w:keepNext w:val="0"/>
      </w:pPr>
      <w:r>
        <w:t>Useful if Isaac’s resurrection language is prominent. Hebrews explains Abraham’s faith and figurative recovery; it does not validate every later parallel.</w:t>
      </w:r>
      <w:r>
        <w:rPr>
          <w:vertAlign w:val="superscript"/>
        </w:rPr>
        <w:footnoteReference w:id="95"/>
      </w:r>
    </w:p>
    <w:p>
      <w:pPr>
        <w:pStyle w:val="Heading2"/>
      </w:pPr>
      <w:r>
        <w:t>C06 Made like</w:t>
      </w:r>
    </w:p>
    <w:p>
      <w:pPr>
        <w:keepNext/>
      </w:pPr>
      <w:r>
        <w:t>Conditional. ἀφωμοιωμένος (aphōmoiōmenos).</w:t>
      </w:r>
    </w:p>
    <w:p>
      <w:pPr>
        <w:keepNext w:val="0"/>
      </w:pPr>
      <w:r>
        <w:t>Distinguish likeness to the Son from asserted identity with Jesus. Missing genealogy remains a feature of the account.</w:t>
      </w:r>
      <w:r>
        <w:rPr>
          <w:vertAlign w:val="superscript"/>
        </w:rPr>
        <w:footnoteReference w:id="96"/>
      </w:r>
    </w:p>
    <w:p>
      <w:pPr>
        <w:pStyle w:val="Heading2"/>
      </w:pPr>
      <w:r>
        <w:t>C26 Ears dug for me and body</w:t>
      </w:r>
    </w:p>
    <w:p>
      <w:pPr>
        <w:keepNext/>
      </w:pPr>
      <w:r>
        <w:t>Conditional. אָזְנַיִם כָּרִיתָ לִּי / σῶμα (ʾoznayim karita li / sōma).</w:t>
      </w:r>
    </w:p>
    <w:p>
      <w:pPr>
        <w:keepNext w:val="0"/>
      </w:pPr>
      <w:r>
        <w:t>Explain the differing Hebrew and Greek forms and embodied obedience, preserving uncertainty concerning Greek transmission.</w:t>
      </w:r>
      <w:r>
        <w:rPr>
          <w:vertAlign w:val="superscript"/>
        </w:rPr>
        <w:footnoteReference w:id="97"/>
      </w:r>
    </w:p>
    <w:p>
      <w:pPr>
        <w:pStyle w:val="Heading2"/>
      </w:pPr>
      <w:r>
        <w:t>C45 Pierce</w:t>
      </w:r>
    </w:p>
    <w:p>
      <w:pPr>
        <w:keepNext/>
      </w:pPr>
      <w:r>
        <w:t>Conditional. דָּקַר (daqar).</w:t>
      </w:r>
    </w:p>
    <w:p>
      <w:pPr>
        <w:keepNext w:val="0"/>
      </w:pPr>
      <w:r>
        <w:t>The word is comparatively clear; the difficult me/him pronouns deserve more attention. Show John’s application without hiding that question.</w:t>
      </w:r>
      <w:r>
        <w:rPr>
          <w:vertAlign w:val="superscript"/>
        </w:rPr>
        <w:footnoteReference w:id="98"/>
      </w:r>
    </w:p>
    <w:p>
      <w:pPr>
        <w:pStyle w:val="Heading2"/>
      </w:pPr>
      <w:r>
        <w:t>C52 Edom and humanity</w:t>
      </w:r>
    </w:p>
    <w:p>
      <w:pPr>
        <w:keepNext/>
      </w:pPr>
      <w:r>
        <w:t>Research first. אֱדוֹם / ἀνθρώπων (ʾEdom / anthrōpōn).</w:t>
      </w:r>
    </w:p>
    <w:p>
      <w:pPr>
        <w:keepNext w:val="0"/>
      </w:pPr>
      <w:r>
        <w:t>Explain the material Hebrew–Greek difference if both Amos and Acts are displayed. A lexicon does not turn Edom into humanity by itself.</w:t>
      </w:r>
    </w:p>
    <w:p>
      <w:pPr>
        <w:pStyle w:val="Heading2"/>
      </w:pPr>
      <w:r>
        <w:t>C42 An anointed one</w:t>
      </w:r>
    </w:p>
    <w:p>
      <w:pPr>
        <w:keepNext/>
      </w:pPr>
      <w:r>
        <w:t>Research layer only. מָשִׁיחַ (mashiaḥ).</w:t>
      </w:r>
    </w:p>
    <w:p>
      <w:pPr>
        <w:keepNext w:val="0"/>
      </w:pPr>
      <w:r>
        <w:t>The completed audit recommends no public panel at this stage. If separately authorized, explain that neither English capitalization nor the noun alone settles the referent; distinguish seven/sixty-two and cut-off language from a demonstrated Jesus timetable.</w:t>
      </w:r>
      <w:r>
        <w:rPr>
          <w:vertAlign w:val="superscript"/>
        </w:rPr>
        <w:footnoteReference w:id="99"/>
      </w:r>
    </w:p>
    <w:p>
      <w:pPr>
        <w:keepNext w:val="0"/>
      </w:pPr>
      <w:r>
        <w:t>An implemented feature should provide original script, transliteration, plain meaning, contextual consequence and a source. Where a lexical overclaim is the problem, state what the language does not prove. The reader should leave understanding the passage, not feeling dependent on an unexplained scholarly assertion.</w:t>
      </w:r>
    </w:p>
    <w:p>
      <w:pPr>
        <w:pStyle w:val="Heading1"/>
      </w:pPr>
      <w:r>
        <w:t>Jewish interpretation and historical care</w:t>
      </w:r>
    </w:p>
    <w:p>
      <w:pPr>
        <w:keepNext w:val="0"/>
      </w:pPr>
      <w:r>
        <w:t>This is openly a Christian reading governed by Jesus and the apostles. It need not claim that all earlier Jewish readers expected the same details. Royal psalms belong first to Israel’s worship and monarchy; particular Second Temple texts develop particular future expectations. The eschatological Melchizedek interpretation in 11Q13 does not identify Jesus or prove dependence by Hebrews.</w:t>
      </w:r>
      <w:r>
        <w:rPr>
          <w:vertAlign w:val="superscript"/>
        </w:rPr>
        <w:footnoteReference w:id="100"/>
      </w:r>
    </w:p>
    <w:p>
      <w:pPr>
        <w:keepNext w:val="0"/>
      </w:pPr>
      <w:r>
        <w:t>Isaiah includes Israel as servant and a servant whose mission concerns Israel. The NT identification should be demonstrated without suppressing that corporate language. Later rabbinic messianic use of Isaiah 53 establishes diversity of reception, not a universal pre-Christian expectation of a dying Messiah.</w:t>
      </w:r>
      <w:r>
        <w:rPr>
          <w:vertAlign w:val="superscript"/>
        </w:rPr>
        <w:footnoteReference w:id="101"/>
      </w:r>
    </w:p>
    <w:p>
      <w:pPr>
        <w:keepNext w:val="0"/>
      </w:pPr>
      <w:r>
        <w:t>Do not portray Jewish readers as dishonest or inferior for reaching a different interpretation. Equally, do not hide the Christian conclusion behind a claim of neutrality. State original context, Christian textual bridge and disagreement with the same care.</w:t>
      </w:r>
    </w:p>
    <w:p>
      <w:pPr>
        <w:pStyle w:val="Heading1"/>
      </w:pPr>
      <w:r>
        <w:t>Consolidation and duplicate control</w:t>
      </w:r>
    </w:p>
    <w:p>
      <w:pPr>
        <w:pStyle w:val="Heading2"/>
      </w:pPr>
      <w:r>
        <w:t>Abraham s promises</w:t>
      </w:r>
    </w:p>
    <w:p>
      <w:pPr>
        <w:keepNext w:val="0"/>
      </w:pPr>
      <w:r>
        <w:t>C05. Genesis 12, 15, 17 and 22 develop one promise encounter. Genesis 3 remains a distinct earlier oracle, with a shared seed-language explanation.</w:t>
      </w:r>
    </w:p>
    <w:p>
      <w:pPr>
        <w:pStyle w:val="Heading2"/>
      </w:pPr>
      <w:r>
        <w:t>Exodus and Hosea s recalled son</w:t>
      </w:r>
    </w:p>
    <w:p>
      <w:pPr>
        <w:keepNext w:val="0"/>
      </w:pPr>
      <w:r>
        <w:t>C12. Explain Hosea 11 and Matthew 2 in the Exodus/sonship encounter, not as an unrelated second prediction.</w:t>
      </w:r>
    </w:p>
    <w:p>
      <w:pPr>
        <w:pStyle w:val="Heading2"/>
      </w:pPr>
      <w:r>
        <w:t>Dwelling and temple</w:t>
      </w:r>
    </w:p>
    <w:p>
      <w:pPr>
        <w:keepNext w:val="0"/>
      </w:pPr>
      <w:r>
        <w:t>C15. Treat tabernacle and temple as an institutional development. Furniture does not receive independent credibility badges.</w:t>
      </w:r>
    </w:p>
    <w:p>
      <w:pPr>
        <w:pStyle w:val="Heading2"/>
      </w:pPr>
      <w:r>
        <w:t>Sacrifices and annual atonement</w:t>
      </w:r>
    </w:p>
    <w:p>
      <w:pPr>
        <w:keepNext w:val="0"/>
      </w:pPr>
      <w:r>
        <w:t>C16 and C17. The institution and the distinct annual rite merit separate bounded explanations, without repeating the same general lesson.</w:t>
      </w:r>
    </w:p>
    <w:p>
      <w:pPr>
        <w:pStyle w:val="Heading2"/>
      </w:pPr>
      <w:r>
        <w:t>Melchizedek and Psalm 110</w:t>
      </w:r>
    </w:p>
    <w:p>
      <w:pPr>
        <w:keepNext w:val="0"/>
      </w:pPr>
      <w:r>
        <w:t>C06 and C28. Genesis’s person and the later oracle occupy distinct places; recall rather than retell the earlier explanation.</w:t>
      </w:r>
    </w:p>
    <w:p>
      <w:pPr>
        <w:pStyle w:val="Heading2"/>
      </w:pPr>
      <w:r>
        <w:t>Servant passages</w:t>
      </w:r>
    </w:p>
    <w:p>
      <w:pPr>
        <w:keepNext w:val="0"/>
      </w:pPr>
      <w:r>
        <w:t>C36. Develop Isaiah 42, 49, 50 and 52–53 together, identifying each NT use rather than multiplying one portrait into several proofs.</w:t>
      </w:r>
    </w:p>
    <w:p>
      <w:pPr>
        <w:pStyle w:val="Heading2"/>
      </w:pPr>
      <w:r>
        <w:t>Stone passages</w:t>
      </w:r>
    </w:p>
    <w:p>
      <w:pPr>
        <w:keepNext w:val="0"/>
      </w:pPr>
      <w:r>
        <w:t>C29 and C51. Keep Psalm 118 and Isaiah’s distinct sources identifiable, cross-referencing their NT combination.</w:t>
      </w:r>
    </w:p>
    <w:p>
      <w:pPr>
        <w:pStyle w:val="Heading2"/>
      </w:pPr>
      <w:r>
        <w:t>The preparer</w:t>
      </w:r>
    </w:p>
    <w:p>
      <w:pPr>
        <w:keepNext w:val="0"/>
      </w:pPr>
      <w:r>
        <w:t>C35 and C47. Isaiah and Malachi stay in their prophetic places; recall their convergence in John without repeating two full scenes.</w:t>
      </w:r>
    </w:p>
    <w:p>
      <w:pPr>
        <w:pStyle w:val="Heading1"/>
      </w:pPr>
      <w:r>
        <w:t>Critical self audit</w:t>
      </w:r>
    </w:p>
    <w:p>
      <w:pPr>
        <w:keepNext w:val="0"/>
      </w:pPr>
      <w:r>
        <w:rPr>
          <w:b/>
        </w:rPr>
        <w:t xml:space="preserve">Original context. </w:t>
      </w:r>
      <w:r>
        <w:t>Each profile begins in the OT setting. Royal and individual servant applications do not erase Israelite and corporate dimensions.</w:t>
      </w:r>
    </w:p>
    <w:p>
      <w:pPr>
        <w:keepNext w:val="0"/>
      </w:pPr>
      <w:r>
        <w:rPr>
          <w:b/>
        </w:rPr>
        <w:t xml:space="preserve">Explicitness. </w:t>
      </w:r>
      <w:r>
        <w:t>Quotation, identification and unmistakable allusion are distinguished from direct future prediction. C04, C08, C25, C31, C32 and C52 carry particularly important limits.</w:t>
      </w:r>
    </w:p>
    <w:p>
      <w:pPr>
        <w:keepNext w:val="0"/>
      </w:pPr>
      <w:r>
        <w:rPr>
          <w:b/>
        </w:rPr>
        <w:t xml:space="preserve">Strongly Established scrutiny. </w:t>
      </w:r>
      <w:r>
        <w:t>C02, C07, C09, C10 and C40 retain their strongest objections. Their broader canonical connections are not represented as explicit predictions.</w:t>
      </w:r>
    </w:p>
    <w:p>
      <w:pPr>
        <w:keepNext w:val="0"/>
      </w:pPr>
      <w:r>
        <w:rPr>
          <w:b/>
        </w:rPr>
        <w:t xml:space="preserve">Disconfirmation. </w:t>
      </w:r>
      <w:r>
        <w:t>Unsupported ages, locations, symbolic equations, wound totals, darkness duration and lexical overclaims are rejected in the claim ledger.</w:t>
      </w:r>
    </w:p>
    <w:p>
      <w:pPr>
        <w:keepNext w:val="0"/>
      </w:pPr>
      <w:r>
        <w:rPr>
          <w:b/>
        </w:rPr>
        <w:t xml:space="preserve">Language. </w:t>
      </w:r>
      <w:r>
        <w:t>No conclusion rests on a dictionary gloss alone. Material Hebrew–Greek differences and textual uncertainty remain visible.</w:t>
      </w:r>
    </w:p>
    <w:p>
      <w:pPr>
        <w:keepNext w:val="0"/>
      </w:pPr>
      <w:r>
        <w:rPr>
          <w:b/>
        </w:rPr>
        <w:t xml:space="preserve">Reception history. </w:t>
      </w:r>
      <w:r>
        <w:t>Second Temple evidence is distinguished from later rabbinic interpretation. Neither one community nor one interpreter speaks for all Jews.</w:t>
      </w:r>
    </w:p>
    <w:p>
      <w:pPr>
        <w:keepNext w:val="0"/>
      </w:pPr>
      <w:r>
        <w:rPr>
          <w:b/>
        </w:rPr>
        <w:t xml:space="preserve">Source limits. </w:t>
      </w:r>
      <w:r>
        <w:t>This is a selected scholarly audit, not an exhaustive bibliography or an independent manuscript collation. Partial access is disclosed. The classification is a reasoned judgment, not a vote among authorities.</w:t>
      </w:r>
    </w:p>
    <w:p>
      <w:pPr>
        <w:keepNext w:val="0"/>
      </w:pPr>
      <w:r>
        <w:rPr>
          <w:b/>
        </w:rPr>
        <w:t xml:space="preserve">Public readiness. </w:t>
      </w:r>
      <w:r>
        <w:t>The evidence and proposed reading path are ready for Founder review. Exact public copy, optional-panel wording, act boundaries and artwork belong to the next authorized stage.</w:t>
      </w:r>
    </w:p>
    <w:p>
      <w:pPr>
        <w:keepNext w:val="0"/>
      </w:pPr>
      <w:r>
        <w:t>Strongly Established is revisable if a better counterargument defeats the proposed bridge. Daniel 9’s cautious rating concerns its bounded Christian canonical echo, not the authority of Daniel. The completed Daniel 9 Critical Audit recommends Canonical Pattern — Plausible Echo and research-only placement; an exact-date proof is excluded.</w:t>
      </w:r>
    </w:p>
    <w:p>
      <w:pPr>
        <w:pStyle w:val="Heading1"/>
      </w:pPr>
      <w:r>
        <w:t>Founder review and next stage</w:t>
      </w:r>
    </w:p>
    <w:p>
      <w:pPr>
        <w:keepNext w:val="0"/>
      </w:pPr>
      <w:r>
        <w:t>Review the recommended selection, the five qualified connections, the decision to keep Daniel 9 in research, and the language explanations. No unresolved issue needs an invented resolution. Material omitted from the primary path should remain accessible in the evidence record.</w:t>
      </w:r>
    </w:p>
    <w:p>
      <w:pPr>
        <w:keepNext w:val="0"/>
      </w:pPr>
      <w:r>
        <w:t>After authorization, the next stage can create natural visitor-facing copy, confirm movement boundaries, commission purposeful illustrations and integrate the Journey into the existing Library. Preserve the approved reading-size control, static navigation and existing pages. No website implementation or production deployment is included in this package.</w:t>
      </w:r>
    </w:p>
    <w:p>
      <w:pPr>
        <w:pStyle w:val="Heading1"/>
      </w:pPr>
      <w:r>
        <w:t>Sources</w:t>
      </w:r>
    </w:p>
    <w:p>
      <w:pPr>
        <w:keepNext w:val="0"/>
      </w:pPr>
      <w:r>
        <w:t>Biblical references are primary and appear with contextual chapter links throughout the profiles. This report primarily paraphrases and analyzes, rather than reproducing a translation. ESV is the main reading reference; NET notes and relevant Hebrew–Greek comparisons inform specific questions. Biblical text, later reception and modern argument are distinct evidence types.</w:t>
      </w:r>
    </w:p>
    <w:p>
      <w:pPr>
        <w:keepNext w:val="0"/>
      </w:pPr>
      <w:r>
        <w:t>Editorial source documents: The Living Word Master Blueprint v2.3, consolidated as v2.4 in the accompanying document; The Living Word Foreshadowing Jesus Work Brief; TLW Foreshadowing Jesus Master Prompt for Work; and Pasted markdown(20260912-141920).md. They establish scope and presentation rather than independent evidence for an interpretation.</w:t>
      </w:r>
    </w:p>
    <w:p>
      <w:pPr>
        <w:keepNext w:val="0"/>
      </w:pPr>
      <w:r>
        <w:t>Access scope: Alexander is used only for the accessible opening excerpt. The other listed works were consulted in relevant portions. The Marquette scan supplies the cited 11Q13 edition pages and is not reproduced. Books mentioned inside an article are not silently represented as independently consulted. No fresh collation of the Masoretic, Septuagint or Dead Sea Scroll witnesses is claimed.</w:t>
      </w:r>
    </w:p>
    <w:p>
      <w:pPr>
        <w:keepNext w:val="0"/>
      </w:pPr>
      <w:r>
        <w:t xml:space="preserve">1. [G3] NET Bible translators. </w:t>
      </w:r>
      <w:hyperlink r:id="rId9">
        <w:r>
          <w:rPr>
            <w:color w:val="222222"/>
            <w:u w:val="single"/>
          </w:rPr>
          <w:t>Genesis 3:15 translation and study notes</w:t>
        </w:r>
      </w:hyperlink>
      <w:r>
        <w:t>. online edition.</w:t>
      </w:r>
    </w:p>
    <w:p>
      <w:pPr>
        <w:keepNext w:val="0"/>
      </w:pPr>
      <w:r>
        <w:t xml:space="preserve">2. [CHEEK] Jonathan M. Cheek. </w:t>
      </w:r>
      <w:hyperlink r:id="rId10">
        <w:r>
          <w:rPr>
            <w:color w:val="222222"/>
            <w:u w:val="single"/>
          </w:rPr>
          <w:t>The Individual and Collective Offspring of the Woman: The Canonical Outworking of Genesis 3:15</w:t>
        </w:r>
      </w:hyperlink>
      <w:r>
        <w:t>. Themelios 48.1 (2023).</w:t>
      </w:r>
    </w:p>
    <w:p>
      <w:pPr>
        <w:keepNext w:val="0"/>
      </w:pPr>
      <w:r>
        <w:t xml:space="preserve">3. [SEED] T. Desmond Alexander. </w:t>
      </w:r>
      <w:hyperlink r:id="rId11">
        <w:r>
          <w:rPr>
            <w:color w:val="222222"/>
            <w:u w:val="single"/>
          </w:rPr>
          <w:t>Further Observations on the Term “Seed” in Genesis</w:t>
        </w:r>
      </w:hyperlink>
      <w:r>
        <w:t>. Tyndale Bulletin 48.2 (1997), 363–367; accessible opening excerpt only.</w:t>
      </w:r>
    </w:p>
    <w:p>
      <w:pPr>
        <w:keepNext w:val="0"/>
      </w:pPr>
      <w:r>
        <w:t xml:space="preserve">4. [GAL] NET Bible translators. </w:t>
      </w:r>
      <w:hyperlink r:id="rId12">
        <w:r>
          <w:rPr>
            <w:color w:val="222222"/>
            <w:u w:val="single"/>
          </w:rPr>
          <w:t>Galatians 3:16 text and notes</w:t>
        </w:r>
      </w:hyperlink>
      <w:r>
        <w:t>. online edition.</w:t>
      </w:r>
    </w:p>
    <w:p>
      <w:pPr>
        <w:keepNext w:val="0"/>
      </w:pPr>
      <w:r>
        <w:t xml:space="preserve">5. [AQ] Abraham Kuruvilla. </w:t>
      </w:r>
      <w:hyperlink r:id="rId13">
        <w:r>
          <w:rPr>
            <w:color w:val="222222"/>
            <w:u w:val="single"/>
          </w:rPr>
          <w:t>The Aqedah (Genesis 22): What Is the Author Doing with What He Is Saying?</w:t>
        </w:r>
      </w:hyperlink>
      <w:r>
        <w:t>. JETS 55.3 (2012), 489–508, especially 492–495 and 508.</w:t>
      </w:r>
    </w:p>
    <w:p>
      <w:pPr>
        <w:keepNext w:val="0"/>
      </w:pPr>
      <w:r>
        <w:t xml:space="preserve">6. [ISAAC] NET Bible translators. </w:t>
      </w:r>
      <w:hyperlink r:id="rId14">
        <w:r>
          <w:rPr>
            <w:color w:val="222222"/>
            <w:u w:val="single"/>
          </w:rPr>
          <w:t>Hebrews 11:19 text and notes</w:t>
        </w:r>
      </w:hyperlink>
      <w:r>
        <w:t>. online edition.</w:t>
      </w:r>
    </w:p>
    <w:p>
      <w:pPr>
        <w:keepNext w:val="0"/>
      </w:pPr>
      <w:r>
        <w:t xml:space="preserve">7. [ROM8] NET Bible editors. </w:t>
      </w:r>
      <w:hyperlink r:id="rId15">
        <w:r>
          <w:rPr>
            <w:color w:val="222222"/>
            <w:u w:val="single"/>
          </w:rPr>
          <w:t>Romans 8:32 Greek text and translation comparison</w:t>
        </w:r>
      </w:hyperlink>
      <w:r>
        <w:t>. online edition.</w:t>
      </w:r>
    </w:p>
    <w:p>
      <w:pPr>
        <w:keepNext w:val="0"/>
      </w:pPr>
      <w:r>
        <w:t xml:space="preserve">8. [JOSEPHYES] Greg Stiekes. </w:t>
      </w:r>
      <w:hyperlink r:id="rId16">
        <w:r>
          <w:rPr>
            <w:color w:val="222222"/>
            <w:u w:val="single"/>
          </w:rPr>
          <w:t>Seeing Joseph as a Type of Christ</w:t>
        </w:r>
      </w:hyperlink>
      <w:r>
        <w:t>. BJU Seminary, 19 February 2019.</w:t>
      </w:r>
    </w:p>
    <w:p>
      <w:pPr>
        <w:keepNext w:val="0"/>
      </w:pPr>
      <w:r>
        <w:t xml:space="preserve">9. [JOSEPHNO] Ken Casillas. </w:t>
      </w:r>
      <w:hyperlink r:id="rId17">
        <w:r>
          <w:rPr>
            <w:color w:val="222222"/>
            <w:u w:val="single"/>
          </w:rPr>
          <w:t>Joseph Retyped</w:t>
        </w:r>
      </w:hyperlink>
      <w:r>
        <w:t>. BJU Seminary, 27 February 2019.</w:t>
      </w:r>
    </w:p>
    <w:p>
      <w:pPr>
        <w:keepNext w:val="0"/>
      </w:pPr>
      <w:r>
        <w:t xml:space="preserve">10. [SHILOH] NET Bible translators. </w:t>
      </w:r>
      <w:hyperlink r:id="rId18">
        <w:r>
          <w:rPr>
            <w:color w:val="222222"/>
            <w:u w:val="single"/>
          </w:rPr>
          <w:t>Genesis 49:10 translation notes</w:t>
        </w:r>
      </w:hyperlink>
      <w:r>
        <w:t>. online edition.</w:t>
      </w:r>
    </w:p>
    <w:p>
      <w:pPr>
        <w:keepNext w:val="0"/>
      </w:pPr>
      <w:r>
        <w:t xml:space="preserve">11. [PS2] Marc Zvi Brettler and Amy-Jill Levine. </w:t>
      </w:r>
      <w:hyperlink r:id="rId19">
        <w:r>
          <w:rPr>
            <w:color w:val="222222"/>
            <w:u w:val="single"/>
          </w:rPr>
          <w:t>Psalm 2: Is the Messiah the Son of God?</w:t>
        </w:r>
      </w:hyperlink>
      <w:r>
        <w:t>. TheTorah.com, 29 December 2020.</w:t>
      </w:r>
    </w:p>
    <w:p>
      <w:pPr>
        <w:keepNext w:val="0"/>
      </w:pPr>
      <w:r>
        <w:t xml:space="preserve">12. [PS22] NET Bible translators. </w:t>
      </w:r>
      <w:hyperlink r:id="rId20">
        <w:r>
          <w:rPr>
            <w:color w:val="222222"/>
            <w:u w:val="single"/>
          </w:rPr>
          <w:t>Psalm 22:16 textual and translation note</w:t>
        </w:r>
      </w:hyperlink>
      <w:r>
        <w:t>. online edition.</w:t>
      </w:r>
    </w:p>
    <w:p>
      <w:pPr>
        <w:keepNext w:val="0"/>
      </w:pPr>
      <w:r>
        <w:t xml:space="preserve">13. [PS40] Brandon D. Crowe. </w:t>
      </w:r>
      <w:hyperlink r:id="rId21">
        <w:r>
          <w:rPr>
            <w:color w:val="222222"/>
            <w:u w:val="single"/>
          </w:rPr>
          <w:t>Reading Psalm 40 Messianically</w:t>
        </w:r>
      </w:hyperlink>
      <w:r>
        <w:t>. Reformed Faith &amp; Practice, sections II–III.</w:t>
      </w:r>
    </w:p>
    <w:p>
      <w:pPr>
        <w:keepNext w:val="0"/>
      </w:pPr>
      <w:r>
        <w:t xml:space="preserve">14. [EARS] NET Bible editors. </w:t>
      </w:r>
      <w:hyperlink r:id="rId22">
        <w:r>
          <w:rPr>
            <w:color w:val="222222"/>
            <w:u w:val="single"/>
          </w:rPr>
          <w:t>Psalm 40:6 Hebrew and Greek comparison</w:t>
        </w:r>
      </w:hyperlink>
      <w:r>
        <w:t>. online edition.</w:t>
      </w:r>
    </w:p>
    <w:p>
      <w:pPr>
        <w:keepNext w:val="0"/>
      </w:pPr>
      <w:r>
        <w:t xml:space="preserve">15. [ISA7] NET Bible translators. </w:t>
      </w:r>
      <w:hyperlink r:id="rId23">
        <w:r>
          <w:rPr>
            <w:color w:val="222222"/>
            <w:u w:val="single"/>
          </w:rPr>
          <w:t>Isaiah 7:14 translation notes</w:t>
        </w:r>
      </w:hyperlink>
      <w:r>
        <w:t>. online edition.</w:t>
      </w:r>
    </w:p>
    <w:p>
      <w:pPr>
        <w:keepNext w:val="0"/>
      </w:pPr>
      <w:r>
        <w:t xml:space="preserve">16. [ISA53] NET Bible translators. </w:t>
      </w:r>
      <w:hyperlink r:id="rId24">
        <w:r>
          <w:rPr>
            <w:color w:val="222222"/>
            <w:u w:val="single"/>
          </w:rPr>
          <w:t>Isaiah 53:10 translation notes</w:t>
        </w:r>
      </w:hyperlink>
      <w:r>
        <w:t>. online edition.</w:t>
      </w:r>
    </w:p>
    <w:p>
      <w:pPr>
        <w:keepNext w:val="0"/>
      </w:pPr>
      <w:r>
        <w:t xml:space="preserve">17. [JEWISHSERVANT] Wendy Zierler. </w:t>
      </w:r>
      <w:hyperlink r:id="rId25">
        <w:r>
          <w:rPr>
            <w:color w:val="222222"/>
            <w:u w:val="single"/>
          </w:rPr>
          <w:t>The Skin of the Metzora and the Heart of the Messiah</w:t>
        </w:r>
      </w:hyperlink>
      <w:r>
        <w:t>. TheTorah.com, 19 April 2015; The Stricken Messiah section.</w:t>
      </w:r>
    </w:p>
    <w:p>
      <w:pPr>
        <w:keepNext w:val="0"/>
      </w:pPr>
      <w:r>
        <w:t xml:space="preserve">18. [DAN7] NET Bible translators. </w:t>
      </w:r>
      <w:hyperlink r:id="rId26">
        <w:r>
          <w:rPr>
            <w:color w:val="222222"/>
            <w:u w:val="single"/>
          </w:rPr>
          <w:t>Daniel 7:13 Aramaic and interpretive notes</w:t>
        </w:r>
      </w:hyperlink>
      <w:r>
        <w:t>. online edition.</w:t>
      </w:r>
    </w:p>
    <w:p>
      <w:pPr>
        <w:keepNext w:val="0"/>
      </w:pPr>
      <w:r>
        <w:t xml:space="preserve">19. [DAN9] NET Bible translators. </w:t>
      </w:r>
      <w:hyperlink r:id="rId27">
        <w:r>
          <w:rPr>
            <w:color w:val="222222"/>
            <w:u w:val="single"/>
          </w:rPr>
          <w:t>Daniel 9:26 translation notes</w:t>
        </w:r>
      </w:hyperlink>
      <w:r>
        <w:t>. online edition.</w:t>
      </w:r>
    </w:p>
    <w:p>
      <w:pPr>
        <w:keepNext w:val="0"/>
      </w:pPr>
      <w:r>
        <w:t xml:space="preserve">20. [DAN9ALT] New American Bible Revised Edition editors. </w:t>
      </w:r>
      <w:hyperlink r:id="rId28">
        <w:r>
          <w:rPr>
            <w:color w:val="222222"/>
            <w:u w:val="single"/>
          </w:rPr>
          <w:t>Daniel 9 notes on verses 24–27</w:t>
        </w:r>
      </w:hyperlink>
      <w:r>
        <w:t>. USCCB online edition.</w:t>
      </w:r>
    </w:p>
    <w:p>
      <w:pPr>
        <w:keepNext w:val="0"/>
      </w:pPr>
      <w:r>
        <w:t xml:space="preserve">21. [ZECH12] NET Bible translators. </w:t>
      </w:r>
      <w:hyperlink r:id="rId29">
        <w:r>
          <w:rPr>
            <w:color w:val="222222"/>
            <w:u w:val="single"/>
          </w:rPr>
          <w:t>Zechariah 12:10 textual and translation notes</w:t>
        </w:r>
      </w:hyperlink>
      <w:r>
        <w:t>. online edition.</w:t>
      </w:r>
    </w:p>
    <w:p>
      <w:pPr>
        <w:keepNext w:val="0"/>
      </w:pPr>
      <w:r>
        <w:t xml:space="preserve">22. [HOSEA] Seong-Kwang Kim. </w:t>
      </w:r>
      <w:hyperlink r:id="rId30">
        <w:r>
          <w:rPr>
            <w:color w:val="222222"/>
            <w:u w:val="single"/>
          </w:rPr>
          <w:t>The Use of Hosea 11:1 in Matthew 2:15</w:t>
        </w:r>
      </w:hyperlink>
      <w:r>
        <w:t>. Korean Journal of Old Testament Studies 25.3/73 (2019), 102–129, especially 103–114.</w:t>
      </w:r>
    </w:p>
    <w:p>
      <w:pPr>
        <w:keepNext w:val="0"/>
      </w:pPr>
      <w:r>
        <w:t xml:space="preserve">23. [BEALE] G. K. Beale. </w:t>
      </w:r>
      <w:hyperlink r:id="rId31">
        <w:r>
          <w:rPr>
            <w:color w:val="222222"/>
            <w:u w:val="single"/>
          </w:rPr>
          <w:t>Did Jesus and the apostles preach the right doctrine from the wrong Old Testament texts?</w:t>
        </w:r>
      </w:hyperlink>
      <w:r>
        <w:t>. Reformed Theological Seminary, transcript.</w:t>
      </w:r>
    </w:p>
    <w:p>
      <w:pPr>
        <w:keepNext w:val="0"/>
      </w:pPr>
      <w:r>
        <w:t xml:space="preserve">24. [11Q] Florentino García Martínez and Eibert J. C. Tigchelaar, editors. </w:t>
      </w:r>
      <w:hyperlink r:id="rId32">
        <w:r>
          <w:rPr>
            <w:color w:val="222222"/>
            <w:u w:val="single"/>
          </w:rPr>
          <w:t>11Q13 Hebrew text and English translation</w:t>
        </w:r>
      </w:hyperlink>
      <w:r>
        <w:t>. The Dead Sea Scrolls Study Edition, 1206–1209; scanned extract.</w:t>
      </w:r>
    </w:p>
    <w:p>
      <w:pPr>
        <w:keepNext w:val="0"/>
      </w:pPr>
      <w:r>
        <w:t xml:space="preserve">25. [SHEPHERD] NET Bible translators. </w:t>
      </w:r>
      <w:hyperlink r:id="rId33">
        <w:r>
          <w:rPr>
            <w:color w:val="222222"/>
            <w:u w:val="single"/>
          </w:rPr>
          <w:t>John 10:11 translation and study notes</w:t>
        </w:r>
      </w:hyperlink>
      <w:r>
        <w:t>. online edition.</w:t>
      </w:r>
    </w:p>
    <w:p>
      <w:pPr>
        <w:keepNext w:val="0"/>
      </w:pPr>
      <w:r>
        <w:t xml:space="preserve">26. [DAN9AUD] The Living Word. </w:t>
      </w:r>
      <w:hyperlink r:id="rId34">
        <w:r>
          <w:rPr>
            <w:color w:val="222222"/>
            <w:u w:val="single"/>
          </w:rPr>
          <w:t>Daniel 9 Critical Audit</w:t>
        </w:r>
      </w:hyperlink>
      <w:r>
        <w:t>. Founder review edition, September 2026; accompanying controlling C42 audit.</w:t>
      </w:r>
    </w:p>
    <w:sectPr w:rsidR="00FC693F" w:rsidRPr="0006063C" w:rsidSect="00034616">
      <w:pgSz w:w="12240" w:h="15840"/>
      <w:pgMar w:top="1037" w:right="1181" w:bottom="1037" w:left="118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notes.xml><?xml version="1.0" encoding="utf-8"?>
<w:footnotes xmlns:w="http://schemas.openxmlformats.org/wordprocessingml/2006/main" xmlns:r="http://schemas.openxmlformats.org/officeDocument/2006/relationships">
  <w:footnote w:id="-1" w:type="separator">
    <w:p>
      <w:r>
        <w:separator/>
      </w:r>
    </w:p>
  </w:footnote>
  <w:footnote w:id="0" w:type="continuationSeparator">
    <w:p>
      <w:r>
        <w:continuationSeparator/>
      </w:r>
    </w:p>
  </w:footnote>
  <w:footnote w:id="1">
    <w:p>
      <w:pPr>
        <w:pStyle w:val="FootnoteText"/>
      </w:pPr>
      <w:r>
        <w:footnoteRef/>
      </w:r>
      <w:r>
        <w:t xml:space="preserve"> </w:t>
      </w:r>
      <w:hyperlink r:id="rId1">
        <w:r>
          <w:rPr>
            <w:color w:val="222222"/>
          </w:rPr>
          <w:t>Luke 24:27, 44–47.</w:t>
        </w:r>
      </w:hyperlink>
    </w:p>
  </w:footnote>
  <w:footnote w:id="2">
    <w:p>
      <w:pPr>
        <w:pStyle w:val="FootnoteText"/>
      </w:pPr>
      <w:r>
        <w:footnoteRef/>
      </w:r>
      <w:r>
        <w:t xml:space="preserve"> </w:t>
      </w:r>
      <w:hyperlink r:id="rId2">
        <w:r>
          <w:rPr>
            <w:color w:val="222222"/>
          </w:rPr>
          <w:t>Genesis 1:26–28; 2:7; 3:1–24</w:t>
        </w:r>
      </w:hyperlink>
      <w:r>
        <w:t xml:space="preserve">; </w:t>
      </w:r>
      <w:hyperlink r:id="rId3">
        <w:r>
          <w:rPr>
            <w:color w:val="222222"/>
          </w:rPr>
          <w:t>Romans 5:12–21; 1 Corinthians 15:20–22, 45–49.</w:t>
        </w:r>
      </w:hyperlink>
    </w:p>
  </w:footnote>
  <w:footnote w:id="3">
    <w:p>
      <w:pPr>
        <w:pStyle w:val="FootnoteText"/>
      </w:pPr>
      <w:r>
        <w:footnoteRef/>
      </w:r>
      <w:r>
        <w:t xml:space="preserve"> </w:t>
      </w:r>
      <w:hyperlink r:id="rId4">
        <w:r>
          <w:rPr>
            <w:color w:val="222222"/>
          </w:rPr>
          <w:t>Genesis 3:14–19</w:t>
        </w:r>
      </w:hyperlink>
      <w:r>
        <w:t xml:space="preserve">; </w:t>
      </w:r>
      <w:hyperlink r:id="rId5">
        <w:r>
          <w:rPr>
            <w:color w:val="222222"/>
          </w:rPr>
          <w:t>Romans 16:20; Revelation 12:1–17; 20:1–10; Hebrews 2:14.</w:t>
        </w:r>
      </w:hyperlink>
    </w:p>
  </w:footnote>
  <w:footnote w:id="4">
    <w:p>
      <w:pPr>
        <w:pStyle w:val="FootnoteText"/>
      </w:pPr>
      <w:r>
        <w:footnoteRef/>
      </w:r>
      <w:r>
        <w:t xml:space="preserve"> </w:t>
      </w:r>
      <w:hyperlink r:id="rId6">
        <w:r>
          <w:rPr>
            <w:color w:val="222222"/>
          </w:rPr>
          <w:t>[G3] NET Bible translators, Genesis 3:15 translation and study notes</w:t>
        </w:r>
      </w:hyperlink>
      <w:r>
        <w:t xml:space="preserve">; </w:t>
      </w:r>
      <w:hyperlink r:id="rId7">
        <w:r>
          <w:rPr>
            <w:color w:val="222222"/>
          </w:rPr>
          <w:t>[CHEEK] Jonathan M. Cheek, Individual and collective offspring</w:t>
        </w:r>
      </w:hyperlink>
      <w:r>
        <w:t xml:space="preserve">; </w:t>
      </w:r>
      <w:hyperlink r:id="rId8">
        <w:r>
          <w:rPr>
            <w:color w:val="222222"/>
          </w:rPr>
          <w:t>[SEED] T. Desmond Alexander, Seed in Genesis.</w:t>
        </w:r>
      </w:hyperlink>
    </w:p>
  </w:footnote>
  <w:footnote w:id="5">
    <w:p>
      <w:pPr>
        <w:pStyle w:val="FootnoteText"/>
      </w:pPr>
      <w:r>
        <w:footnoteRef/>
      </w:r>
      <w:r>
        <w:t xml:space="preserve"> </w:t>
      </w:r>
      <w:hyperlink r:id="rId9">
        <w:r>
          <w:rPr>
            <w:color w:val="222222"/>
          </w:rPr>
          <w:t>Genesis 4:1–16</w:t>
        </w:r>
      </w:hyperlink>
      <w:r>
        <w:t xml:space="preserve">; </w:t>
      </w:r>
      <w:hyperlink r:id="rId10">
        <w:r>
          <w:rPr>
            <w:color w:val="222222"/>
          </w:rPr>
          <w:t>Hebrews 11:4; 12:24; Matthew 23:35.</w:t>
        </w:r>
      </w:hyperlink>
    </w:p>
  </w:footnote>
  <w:footnote w:id="6">
    <w:p>
      <w:pPr>
        <w:pStyle w:val="FootnoteText"/>
      </w:pPr>
      <w:r>
        <w:footnoteRef/>
      </w:r>
      <w:r>
        <w:t xml:space="preserve"> </w:t>
      </w:r>
      <w:hyperlink r:id="rId11">
        <w:r>
          <w:rPr>
            <w:color w:val="222222"/>
          </w:rPr>
          <w:t>Genesis 6:5–9:17</w:t>
        </w:r>
      </w:hyperlink>
      <w:r>
        <w:t xml:space="preserve">; </w:t>
      </w:r>
      <w:hyperlink r:id="rId12">
        <w:r>
          <w:rPr>
            <w:color w:val="222222"/>
          </w:rPr>
          <w:t>1 Peter 3:18–22; Matthew 24:37–39.</w:t>
        </w:r>
      </w:hyperlink>
    </w:p>
  </w:footnote>
  <w:footnote w:id="7">
    <w:p>
      <w:pPr>
        <w:pStyle w:val="FootnoteText"/>
      </w:pPr>
      <w:r>
        <w:footnoteRef/>
      </w:r>
      <w:r>
        <w:t xml:space="preserve"> </w:t>
      </w:r>
      <w:hyperlink r:id="rId13">
        <w:r>
          <w:rPr>
            <w:color w:val="222222"/>
          </w:rPr>
          <w:t>Genesis 12:1–7; 15:1–6; 17:1–8; 22:15–18</w:t>
        </w:r>
      </w:hyperlink>
      <w:r>
        <w:t xml:space="preserve">; </w:t>
      </w:r>
      <w:hyperlink r:id="rId14">
        <w:r>
          <w:rPr>
            <w:color w:val="222222"/>
          </w:rPr>
          <w:t>Galatians 3:6–9, 14–18, 26–29; Acts 3:25–26.</w:t>
        </w:r>
      </w:hyperlink>
    </w:p>
  </w:footnote>
  <w:footnote w:id="8">
    <w:p>
      <w:pPr>
        <w:pStyle w:val="FootnoteText"/>
      </w:pPr>
      <w:r>
        <w:footnoteRef/>
      </w:r>
      <w:r>
        <w:t xml:space="preserve"> </w:t>
      </w:r>
      <w:hyperlink r:id="rId15">
        <w:r>
          <w:rPr>
            <w:color w:val="222222"/>
          </w:rPr>
          <w:t>[GAL] NET Bible translators, Galatians 3:16 text and notes</w:t>
        </w:r>
      </w:hyperlink>
      <w:r>
        <w:t xml:space="preserve">; </w:t>
      </w:r>
      <w:hyperlink r:id="rId16">
        <w:r>
          <w:rPr>
            <w:color w:val="222222"/>
          </w:rPr>
          <w:t>[SEED] T. Desmond Alexander, Seed in Genesis.</w:t>
        </w:r>
      </w:hyperlink>
    </w:p>
  </w:footnote>
  <w:footnote w:id="9">
    <w:p>
      <w:pPr>
        <w:pStyle w:val="FootnoteText"/>
      </w:pPr>
      <w:r>
        <w:footnoteRef/>
      </w:r>
      <w:r>
        <w:t xml:space="preserve"> </w:t>
      </w:r>
      <w:hyperlink r:id="rId17">
        <w:r>
          <w:rPr>
            <w:color w:val="222222"/>
          </w:rPr>
          <w:t>Genesis 14:17–20; Psalm 110:4 as later bridge</w:t>
        </w:r>
      </w:hyperlink>
      <w:r>
        <w:t xml:space="preserve">; </w:t>
      </w:r>
      <w:hyperlink r:id="rId18">
        <w:r>
          <w:rPr>
            <w:color w:val="222222"/>
          </w:rPr>
          <w:t>Hebrews 5:5–10; 7:1–28.</w:t>
        </w:r>
      </w:hyperlink>
    </w:p>
  </w:footnote>
  <w:footnote w:id="10">
    <w:p>
      <w:pPr>
        <w:pStyle w:val="FootnoteText"/>
      </w:pPr>
      <w:r>
        <w:footnoteRef/>
      </w:r>
      <w:r>
        <w:t xml:space="preserve"> </w:t>
      </w:r>
      <w:hyperlink r:id="rId19">
        <w:r>
          <w:rPr>
            <w:color w:val="222222"/>
          </w:rPr>
          <w:t>[11Q] Florentino García Martínez and Eibert J. C. Tigchelaar, editors, 11Q13, pp. 1206–1209.</w:t>
        </w:r>
      </w:hyperlink>
    </w:p>
  </w:footnote>
  <w:footnote w:id="11">
    <w:p>
      <w:pPr>
        <w:pStyle w:val="FootnoteText"/>
      </w:pPr>
      <w:r>
        <w:footnoteRef/>
      </w:r>
      <w:r>
        <w:t xml:space="preserve"> </w:t>
      </w:r>
      <w:hyperlink r:id="rId20">
        <w:r>
          <w:rPr>
            <w:color w:val="222222"/>
          </w:rPr>
          <w:t>Genesis 22:1–19</w:t>
        </w:r>
      </w:hyperlink>
      <w:r>
        <w:t xml:space="preserve">; </w:t>
      </w:r>
      <w:hyperlink r:id="rId21">
        <w:r>
          <w:rPr>
            <w:color w:val="222222"/>
          </w:rPr>
          <w:t>Hebrews 11:17–19; Romans 8:32; James 2:21–23.</w:t>
        </w:r>
      </w:hyperlink>
    </w:p>
  </w:footnote>
  <w:footnote w:id="12">
    <w:p>
      <w:pPr>
        <w:pStyle w:val="FootnoteText"/>
      </w:pPr>
      <w:r>
        <w:footnoteRef/>
      </w:r>
      <w:r>
        <w:t xml:space="preserve"> </w:t>
      </w:r>
      <w:hyperlink r:id="rId22">
        <w:r>
          <w:rPr>
            <w:color w:val="222222"/>
          </w:rPr>
          <w:t>[AQ] Abraham Kuruvilla, The Aqedah</w:t>
        </w:r>
      </w:hyperlink>
      <w:r>
        <w:t xml:space="preserve">; </w:t>
      </w:r>
      <w:hyperlink r:id="rId23">
        <w:r>
          <w:rPr>
            <w:color w:val="222222"/>
          </w:rPr>
          <w:t>[ISAAC] NET Bible translators, Hebrews 11:19 text and notes</w:t>
        </w:r>
      </w:hyperlink>
      <w:r>
        <w:t xml:space="preserve">; </w:t>
      </w:r>
      <w:hyperlink r:id="rId24">
        <w:r>
          <w:rPr>
            <w:color w:val="222222"/>
          </w:rPr>
          <w:t>[ROM8] NET Bible editors, Romans 8:32 Greek text and translation comparison.</w:t>
        </w:r>
      </w:hyperlink>
    </w:p>
  </w:footnote>
  <w:footnote w:id="13">
    <w:p>
      <w:pPr>
        <w:pStyle w:val="FootnoteText"/>
      </w:pPr>
      <w:r>
        <w:footnoteRef/>
      </w:r>
      <w:r>
        <w:t xml:space="preserve"> </w:t>
      </w:r>
      <w:hyperlink r:id="rId25">
        <w:r>
          <w:rPr>
            <w:color w:val="222222"/>
          </w:rPr>
          <w:t>Genesis 28:10–22</w:t>
        </w:r>
      </w:hyperlink>
      <w:r>
        <w:t xml:space="preserve">; </w:t>
      </w:r>
      <w:hyperlink r:id="rId26">
        <w:r>
          <w:rPr>
            <w:color w:val="222222"/>
          </w:rPr>
          <w:t>John 1:47–51.</w:t>
        </w:r>
      </w:hyperlink>
    </w:p>
  </w:footnote>
  <w:footnote w:id="14">
    <w:p>
      <w:pPr>
        <w:pStyle w:val="FootnoteText"/>
      </w:pPr>
      <w:r>
        <w:footnoteRef/>
      </w:r>
      <w:r>
        <w:t xml:space="preserve"> </w:t>
      </w:r>
      <w:hyperlink r:id="rId27">
        <w:r>
          <w:rPr>
            <w:color w:val="222222"/>
          </w:rPr>
          <w:t>Genesis 37; 39–50</w:t>
        </w:r>
      </w:hyperlink>
      <w:r>
        <w:t xml:space="preserve">; </w:t>
      </w:r>
      <w:hyperlink r:id="rId28">
        <w:r>
          <w:rPr>
            <w:color w:val="222222"/>
          </w:rPr>
          <w:t>Acts 7:9–16, 35, 51–52.</w:t>
        </w:r>
      </w:hyperlink>
    </w:p>
  </w:footnote>
  <w:footnote w:id="15">
    <w:p>
      <w:pPr>
        <w:pStyle w:val="FootnoteText"/>
      </w:pPr>
      <w:r>
        <w:footnoteRef/>
      </w:r>
      <w:r>
        <w:t xml:space="preserve"> </w:t>
      </w:r>
      <w:hyperlink r:id="rId29">
        <w:r>
          <w:rPr>
            <w:color w:val="222222"/>
          </w:rPr>
          <w:t>[JOSEPHYES] Greg Stiekes, Joseph as a type of Christ</w:t>
        </w:r>
      </w:hyperlink>
      <w:r>
        <w:t xml:space="preserve">; </w:t>
      </w:r>
      <w:hyperlink r:id="rId30">
        <w:r>
          <w:rPr>
            <w:color w:val="222222"/>
          </w:rPr>
          <w:t>[JOSEPHNO] Ken Casillas, Joseph Retyped.</w:t>
        </w:r>
      </w:hyperlink>
    </w:p>
  </w:footnote>
  <w:footnote w:id="16">
    <w:p>
      <w:pPr>
        <w:pStyle w:val="FootnoteText"/>
      </w:pPr>
      <w:r>
        <w:footnoteRef/>
      </w:r>
      <w:r>
        <w:t xml:space="preserve"> </w:t>
      </w:r>
      <w:hyperlink r:id="rId31">
        <w:r>
          <w:rPr>
            <w:color w:val="222222"/>
          </w:rPr>
          <w:t>Genesis 49:8–12</w:t>
        </w:r>
      </w:hyperlink>
      <w:r>
        <w:t xml:space="preserve">; </w:t>
      </w:r>
      <w:hyperlink r:id="rId32">
        <w:r>
          <w:rPr>
            <w:color w:val="222222"/>
          </w:rPr>
          <w:t>Hebrews 7:14; Revelation 5:5.</w:t>
        </w:r>
      </w:hyperlink>
    </w:p>
  </w:footnote>
  <w:footnote w:id="17">
    <w:p>
      <w:pPr>
        <w:pStyle w:val="FootnoteText"/>
      </w:pPr>
      <w:r>
        <w:footnoteRef/>
      </w:r>
      <w:r>
        <w:t xml:space="preserve"> </w:t>
      </w:r>
      <w:hyperlink r:id="rId33">
        <w:r>
          <w:rPr>
            <w:color w:val="222222"/>
          </w:rPr>
          <w:t>[SHILOH] NET Bible translators, Genesis 49:10 translation notes.</w:t>
        </w:r>
      </w:hyperlink>
    </w:p>
  </w:footnote>
  <w:footnote w:id="18">
    <w:p>
      <w:pPr>
        <w:pStyle w:val="FootnoteText"/>
      </w:pPr>
      <w:r>
        <w:footnoteRef/>
      </w:r>
      <w:r>
        <w:t xml:space="preserve"> </w:t>
      </w:r>
      <w:hyperlink r:id="rId34">
        <w:r>
          <w:rPr>
            <w:color w:val="222222"/>
          </w:rPr>
          <w:t>Exodus 12:1–28, 43–49</w:t>
        </w:r>
      </w:hyperlink>
      <w:r>
        <w:t xml:space="preserve">; </w:t>
      </w:r>
      <w:hyperlink r:id="rId35">
        <w:r>
          <w:rPr>
            <w:color w:val="222222"/>
          </w:rPr>
          <w:t>1 Corinthians 5:7–8; John 19:36.</w:t>
        </w:r>
      </w:hyperlink>
    </w:p>
  </w:footnote>
  <w:footnote w:id="19">
    <w:p>
      <w:pPr>
        <w:pStyle w:val="FootnoteText"/>
      </w:pPr>
      <w:r>
        <w:footnoteRef/>
      </w:r>
      <w:r>
        <w:t xml:space="preserve"> </w:t>
      </w:r>
      <w:hyperlink r:id="rId36">
        <w:r>
          <w:rPr>
            <w:color w:val="222222"/>
          </w:rPr>
          <w:t>Exodus 4:22–23; 12–15; Hosea 11:1–11</w:t>
        </w:r>
      </w:hyperlink>
      <w:r>
        <w:t xml:space="preserve">; </w:t>
      </w:r>
      <w:hyperlink r:id="rId37">
        <w:r>
          <w:rPr>
            <w:color w:val="222222"/>
          </w:rPr>
          <w:t>Matthew 2:13–15; Luke 9:30–31.</w:t>
        </w:r>
      </w:hyperlink>
    </w:p>
  </w:footnote>
  <w:footnote w:id="20">
    <w:p>
      <w:pPr>
        <w:pStyle w:val="FootnoteText"/>
      </w:pPr>
      <w:r>
        <w:footnoteRef/>
      </w:r>
      <w:r>
        <w:t xml:space="preserve"> </w:t>
      </w:r>
      <w:hyperlink r:id="rId38">
        <w:r>
          <w:rPr>
            <w:color w:val="222222"/>
          </w:rPr>
          <w:t>[HOSEA] Seong-Kwang Kim, Hosea 11 in Matthew 2</w:t>
        </w:r>
      </w:hyperlink>
      <w:r>
        <w:t xml:space="preserve">; </w:t>
      </w:r>
      <w:hyperlink r:id="rId39">
        <w:r>
          <w:rPr>
            <w:color w:val="222222"/>
          </w:rPr>
          <w:t>[BEALE] G. K. Beale, Apostolic use of the Old Testament.</w:t>
        </w:r>
      </w:hyperlink>
    </w:p>
  </w:footnote>
  <w:footnote w:id="21">
    <w:p>
      <w:pPr>
        <w:pStyle w:val="FootnoteText"/>
      </w:pPr>
      <w:r>
        <w:footnoteRef/>
      </w:r>
      <w:r>
        <w:t xml:space="preserve"> </w:t>
      </w:r>
      <w:hyperlink r:id="rId40">
        <w:r>
          <w:rPr>
            <w:color w:val="222222"/>
          </w:rPr>
          <w:t>Exodus 16; Deuteronomy 8:2–3</w:t>
        </w:r>
      </w:hyperlink>
      <w:r>
        <w:t xml:space="preserve">; </w:t>
      </w:r>
      <w:hyperlink r:id="rId41">
        <w:r>
          <w:rPr>
            <w:color w:val="222222"/>
          </w:rPr>
          <w:t>John 6:30–58.</w:t>
        </w:r>
      </w:hyperlink>
    </w:p>
  </w:footnote>
  <w:footnote w:id="22">
    <w:p>
      <w:pPr>
        <w:pStyle w:val="FootnoteText"/>
      </w:pPr>
      <w:r>
        <w:footnoteRef/>
      </w:r>
      <w:r>
        <w:t xml:space="preserve"> </w:t>
      </w:r>
      <w:hyperlink r:id="rId42">
        <w:r>
          <w:rPr>
            <w:color w:val="222222"/>
          </w:rPr>
          <w:t>Exodus 17:1–7; Numbers 20:1–13</w:t>
        </w:r>
      </w:hyperlink>
      <w:r>
        <w:t xml:space="preserve">; </w:t>
      </w:r>
      <w:hyperlink r:id="rId43">
        <w:r>
          <w:rPr>
            <w:color w:val="222222"/>
          </w:rPr>
          <w:t>1 Corinthians 10:1–13.</w:t>
        </w:r>
      </w:hyperlink>
    </w:p>
  </w:footnote>
  <w:footnote w:id="23">
    <w:p>
      <w:pPr>
        <w:pStyle w:val="FootnoteText"/>
      </w:pPr>
      <w:r>
        <w:footnoteRef/>
      </w:r>
      <w:r>
        <w:t xml:space="preserve"> </w:t>
      </w:r>
      <w:hyperlink r:id="rId44">
        <w:r>
          <w:rPr>
            <w:color w:val="222222"/>
          </w:rPr>
          <w:t>Exodus 25:8–9; 40:34–38; 1 Kings 8:27–30</w:t>
        </w:r>
      </w:hyperlink>
      <w:r>
        <w:t xml:space="preserve">; </w:t>
      </w:r>
      <w:hyperlink r:id="rId45">
        <w:r>
          <w:rPr>
            <w:color w:val="222222"/>
          </w:rPr>
          <w:t>John 1:14; 2:19–22; Hebrews 8:1–6; 9:1–14.</w:t>
        </w:r>
      </w:hyperlink>
    </w:p>
  </w:footnote>
  <w:footnote w:id="24">
    <w:p>
      <w:pPr>
        <w:pStyle w:val="FootnoteText"/>
      </w:pPr>
      <w:r>
        <w:footnoteRef/>
      </w:r>
      <w:r>
        <w:t xml:space="preserve"> </w:t>
      </w:r>
      <w:hyperlink r:id="rId46">
        <w:r>
          <w:rPr>
            <w:color w:val="222222"/>
          </w:rPr>
          <w:t>Exodus 28–29; Leviticus 1–7</w:t>
        </w:r>
      </w:hyperlink>
      <w:r>
        <w:t xml:space="preserve">; </w:t>
      </w:r>
      <w:hyperlink r:id="rId47">
        <w:r>
          <w:rPr>
            <w:color w:val="222222"/>
          </w:rPr>
          <w:t>Hebrews 4:14–5:10; 7:23–28; 10:1–14.</w:t>
        </w:r>
      </w:hyperlink>
    </w:p>
  </w:footnote>
  <w:footnote w:id="25">
    <w:p>
      <w:pPr>
        <w:pStyle w:val="FootnoteText"/>
      </w:pPr>
      <w:r>
        <w:footnoteRef/>
      </w:r>
      <w:r>
        <w:t xml:space="preserve"> </w:t>
      </w:r>
      <w:hyperlink r:id="rId48">
        <w:r>
          <w:rPr>
            <w:color w:val="222222"/>
          </w:rPr>
          <w:t>Leviticus 16</w:t>
        </w:r>
      </w:hyperlink>
      <w:r>
        <w:t xml:space="preserve">; </w:t>
      </w:r>
      <w:hyperlink r:id="rId49">
        <w:r>
          <w:rPr>
            <w:color w:val="222222"/>
          </w:rPr>
          <w:t>Hebrews 9:6–14, 24–28; 13:11–13.</w:t>
        </w:r>
      </w:hyperlink>
    </w:p>
  </w:footnote>
  <w:footnote w:id="26">
    <w:p>
      <w:pPr>
        <w:pStyle w:val="FootnoteText"/>
      </w:pPr>
      <w:r>
        <w:footnoteRef/>
      </w:r>
      <w:r>
        <w:t xml:space="preserve"> </w:t>
      </w:r>
      <w:hyperlink r:id="rId50">
        <w:r>
          <w:rPr>
            <w:color w:val="222222"/>
          </w:rPr>
          <w:t>Numbers 21:4–9; 2 Kings 18:4</w:t>
        </w:r>
      </w:hyperlink>
      <w:r>
        <w:t xml:space="preserve">; </w:t>
      </w:r>
      <w:hyperlink r:id="rId51">
        <w:r>
          <w:rPr>
            <w:color w:val="222222"/>
          </w:rPr>
          <w:t>John 3:14–18; 12:32–33.</w:t>
        </w:r>
      </w:hyperlink>
    </w:p>
  </w:footnote>
  <w:footnote w:id="27">
    <w:p>
      <w:pPr>
        <w:pStyle w:val="FootnoteText"/>
      </w:pPr>
      <w:r>
        <w:footnoteRef/>
      </w:r>
      <w:r>
        <w:t xml:space="preserve"> </w:t>
      </w:r>
      <w:hyperlink r:id="rId52">
        <w:r>
          <w:rPr>
            <w:color w:val="222222"/>
          </w:rPr>
          <w:t>Deuteronomy 18:9–22; 34:10–12</w:t>
        </w:r>
      </w:hyperlink>
      <w:r>
        <w:t xml:space="preserve">; </w:t>
      </w:r>
      <w:hyperlink r:id="rId53">
        <w:r>
          <w:rPr>
            <w:color w:val="222222"/>
          </w:rPr>
          <w:t>Acts 3:17–26; 7:37; John 6:14.</w:t>
        </w:r>
      </w:hyperlink>
    </w:p>
  </w:footnote>
  <w:footnote w:id="28">
    <w:p>
      <w:pPr>
        <w:pStyle w:val="FootnoteText"/>
      </w:pPr>
      <w:r>
        <w:footnoteRef/>
      </w:r>
      <w:r>
        <w:t xml:space="preserve"> </w:t>
      </w:r>
      <w:hyperlink r:id="rId54">
        <w:r>
          <w:rPr>
            <w:color w:val="222222"/>
          </w:rPr>
          <w:t>Deuteronomy 21:22–23</w:t>
        </w:r>
      </w:hyperlink>
      <w:r>
        <w:t xml:space="preserve">; </w:t>
      </w:r>
      <w:hyperlink r:id="rId55">
        <w:r>
          <w:rPr>
            <w:color w:val="222222"/>
          </w:rPr>
          <w:t>Galatians 3:10–14; Acts 5:30; 1 Peter 2:24.</w:t>
        </w:r>
      </w:hyperlink>
    </w:p>
  </w:footnote>
  <w:footnote w:id="29">
    <w:p>
      <w:pPr>
        <w:pStyle w:val="FootnoteText"/>
      </w:pPr>
      <w:r>
        <w:footnoteRef/>
      </w:r>
      <w:r>
        <w:t xml:space="preserve"> </w:t>
      </w:r>
      <w:hyperlink r:id="rId56">
        <w:r>
          <w:rPr>
            <w:color w:val="222222"/>
          </w:rPr>
          <w:t>Joshua 21:43–45; Psalm 95:7–11; Genesis 2:2</w:t>
        </w:r>
      </w:hyperlink>
      <w:r>
        <w:t xml:space="preserve">; </w:t>
      </w:r>
      <w:hyperlink r:id="rId57">
        <w:r>
          <w:rPr>
            <w:color w:val="222222"/>
          </w:rPr>
          <w:t>Hebrews 3:7–4:11.</w:t>
        </w:r>
      </w:hyperlink>
    </w:p>
  </w:footnote>
  <w:footnote w:id="30">
    <w:p>
      <w:pPr>
        <w:pStyle w:val="FootnoteText"/>
      </w:pPr>
      <w:r>
        <w:footnoteRef/>
      </w:r>
      <w:r>
        <w:t xml:space="preserve"> </w:t>
      </w:r>
      <w:hyperlink r:id="rId58">
        <w:r>
          <w:rPr>
            <w:color w:val="222222"/>
          </w:rPr>
          <w:t>2 Samuel 7:8–16; Psalm 89</w:t>
        </w:r>
      </w:hyperlink>
      <w:r>
        <w:t xml:space="preserve">; </w:t>
      </w:r>
      <w:hyperlink r:id="rId59">
        <w:r>
          <w:rPr>
            <w:color w:val="222222"/>
          </w:rPr>
          <w:t>Luke 1:30–33; Acts 13:22–23; Hebrews 1:5.</w:t>
        </w:r>
      </w:hyperlink>
    </w:p>
  </w:footnote>
  <w:footnote w:id="31">
    <w:p>
      <w:pPr>
        <w:pStyle w:val="FootnoteText"/>
      </w:pPr>
      <w:r>
        <w:footnoteRef/>
      </w:r>
      <w:r>
        <w:t xml:space="preserve"> </w:t>
      </w:r>
      <w:hyperlink r:id="rId60">
        <w:r>
          <w:rPr>
            <w:color w:val="222222"/>
          </w:rPr>
          <w:t>[PS2] Marc Zvi Brettler and Amy-Jill Levine, Psalm 2 and messianic sonship.</w:t>
        </w:r>
      </w:hyperlink>
    </w:p>
  </w:footnote>
  <w:footnote w:id="32">
    <w:p>
      <w:pPr>
        <w:pStyle w:val="FootnoteText"/>
      </w:pPr>
      <w:r>
        <w:footnoteRef/>
      </w:r>
      <w:r>
        <w:t xml:space="preserve"> </w:t>
      </w:r>
      <w:hyperlink r:id="rId61">
        <w:r>
          <w:rPr>
            <w:color w:val="222222"/>
          </w:rPr>
          <w:t>1 Kings 3:5–14; 10:1–13; 11:1–13</w:t>
        </w:r>
      </w:hyperlink>
      <w:r>
        <w:t xml:space="preserve">; </w:t>
      </w:r>
      <w:hyperlink r:id="rId62">
        <w:r>
          <w:rPr>
            <w:color w:val="222222"/>
          </w:rPr>
          <w:t>Matthew 12:42; Luke 11:31.</w:t>
        </w:r>
      </w:hyperlink>
    </w:p>
  </w:footnote>
  <w:footnote w:id="33">
    <w:p>
      <w:pPr>
        <w:pStyle w:val="FootnoteText"/>
      </w:pPr>
      <w:r>
        <w:footnoteRef/>
      </w:r>
      <w:r>
        <w:t xml:space="preserve"> </w:t>
      </w:r>
      <w:hyperlink r:id="rId63">
        <w:r>
          <w:rPr>
            <w:color w:val="222222"/>
          </w:rPr>
          <w:t>Psalm 2</w:t>
        </w:r>
      </w:hyperlink>
      <w:r>
        <w:t xml:space="preserve">; </w:t>
      </w:r>
      <w:hyperlink r:id="rId64">
        <w:r>
          <w:rPr>
            <w:color w:val="222222"/>
          </w:rPr>
          <w:t>Acts 4:25–28; 13:32–33; Hebrews 1:5; 5:5.</w:t>
        </w:r>
      </w:hyperlink>
    </w:p>
  </w:footnote>
  <w:footnote w:id="34">
    <w:p>
      <w:pPr>
        <w:pStyle w:val="FootnoteText"/>
      </w:pPr>
      <w:r>
        <w:footnoteRef/>
      </w:r>
      <w:r>
        <w:t xml:space="preserve"> </w:t>
      </w:r>
      <w:hyperlink r:id="rId65">
        <w:r>
          <w:rPr>
            <w:color w:val="222222"/>
          </w:rPr>
          <w:t>[PS2] Marc Zvi Brettler and Amy-Jill Levine, Psalm 2 and messianic sonship.</w:t>
        </w:r>
      </w:hyperlink>
    </w:p>
  </w:footnote>
  <w:footnote w:id="35">
    <w:p>
      <w:pPr>
        <w:pStyle w:val="FootnoteText"/>
      </w:pPr>
      <w:r>
        <w:footnoteRef/>
      </w:r>
      <w:r>
        <w:t xml:space="preserve"> </w:t>
      </w:r>
      <w:hyperlink r:id="rId66">
        <w:r>
          <w:rPr>
            <w:color w:val="222222"/>
          </w:rPr>
          <w:t>Psalm 8:3–8</w:t>
        </w:r>
      </w:hyperlink>
      <w:r>
        <w:t xml:space="preserve">; </w:t>
      </w:r>
      <w:hyperlink r:id="rId67">
        <w:r>
          <w:rPr>
            <w:color w:val="222222"/>
          </w:rPr>
          <w:t>Hebrews 2:5–10; 1 Corinthians 15:27; Ephesians 1:22.</w:t>
        </w:r>
      </w:hyperlink>
    </w:p>
  </w:footnote>
  <w:footnote w:id="36">
    <w:p>
      <w:pPr>
        <w:pStyle w:val="FootnoteText"/>
      </w:pPr>
      <w:r>
        <w:footnoteRef/>
      </w:r>
      <w:r>
        <w:t xml:space="preserve"> </w:t>
      </w:r>
      <w:hyperlink r:id="rId68">
        <w:r>
          <w:rPr>
            <w:color w:val="222222"/>
          </w:rPr>
          <w:t>Psalm 16:8–11</w:t>
        </w:r>
      </w:hyperlink>
      <w:r>
        <w:t xml:space="preserve">; </w:t>
      </w:r>
      <w:hyperlink r:id="rId69">
        <w:r>
          <w:rPr>
            <w:color w:val="222222"/>
          </w:rPr>
          <w:t>Acts 2:25–32; 13:35–37.</w:t>
        </w:r>
      </w:hyperlink>
    </w:p>
  </w:footnote>
  <w:footnote w:id="37">
    <w:p>
      <w:pPr>
        <w:pStyle w:val="FootnoteText"/>
      </w:pPr>
      <w:r>
        <w:footnoteRef/>
      </w:r>
      <w:r>
        <w:t xml:space="preserve"> </w:t>
      </w:r>
      <w:hyperlink r:id="rId70">
        <w:r>
          <w:rPr>
            <w:color w:val="222222"/>
          </w:rPr>
          <w:t>Psalm 22</w:t>
        </w:r>
      </w:hyperlink>
      <w:r>
        <w:t xml:space="preserve">; </w:t>
      </w:r>
      <w:hyperlink r:id="rId71">
        <w:r>
          <w:rPr>
            <w:color w:val="222222"/>
          </w:rPr>
          <w:t>Mark 15:24, 29–34; Matthew 27:35–46; John 19:23–24; Hebrews 2:12.</w:t>
        </w:r>
      </w:hyperlink>
    </w:p>
  </w:footnote>
  <w:footnote w:id="38">
    <w:p>
      <w:pPr>
        <w:pStyle w:val="FootnoteText"/>
      </w:pPr>
      <w:r>
        <w:footnoteRef/>
      </w:r>
      <w:r>
        <w:t xml:space="preserve"> </w:t>
      </w:r>
      <w:hyperlink r:id="rId72">
        <w:r>
          <w:rPr>
            <w:color w:val="222222"/>
          </w:rPr>
          <w:t>[PS22] NET Bible translators, Psalm 22:16 textual and translation note.</w:t>
        </w:r>
      </w:hyperlink>
    </w:p>
  </w:footnote>
  <w:footnote w:id="39">
    <w:p>
      <w:pPr>
        <w:pStyle w:val="FootnoteText"/>
      </w:pPr>
      <w:r>
        <w:footnoteRef/>
      </w:r>
      <w:r>
        <w:t xml:space="preserve"> </w:t>
      </w:r>
      <w:hyperlink r:id="rId73">
        <w:r>
          <w:rPr>
            <w:color w:val="222222"/>
          </w:rPr>
          <w:t>Psalm 40:1–12</w:t>
        </w:r>
      </w:hyperlink>
      <w:r>
        <w:t xml:space="preserve">; </w:t>
      </w:r>
      <w:hyperlink r:id="rId74">
        <w:r>
          <w:rPr>
            <w:color w:val="222222"/>
          </w:rPr>
          <w:t>Hebrews 10:5–10.</w:t>
        </w:r>
      </w:hyperlink>
    </w:p>
  </w:footnote>
  <w:footnote w:id="40">
    <w:p>
      <w:pPr>
        <w:pStyle w:val="FootnoteText"/>
      </w:pPr>
      <w:r>
        <w:footnoteRef/>
      </w:r>
      <w:r>
        <w:t xml:space="preserve"> </w:t>
      </w:r>
      <w:hyperlink r:id="rId75">
        <w:r>
          <w:rPr>
            <w:color w:val="222222"/>
          </w:rPr>
          <w:t>[PS40] Brandon D. Crowe, Reading Psalm 40 Messianically</w:t>
        </w:r>
      </w:hyperlink>
      <w:r>
        <w:t xml:space="preserve">; </w:t>
      </w:r>
      <w:hyperlink r:id="rId76">
        <w:r>
          <w:rPr>
            <w:color w:val="222222"/>
          </w:rPr>
          <w:t>[EARS] NET Bible editors, Psalm 40:6 Hebrew and Greek comparison.</w:t>
        </w:r>
      </w:hyperlink>
    </w:p>
  </w:footnote>
  <w:footnote w:id="41">
    <w:p>
      <w:pPr>
        <w:pStyle w:val="FootnoteText"/>
      </w:pPr>
      <w:r>
        <w:footnoteRef/>
      </w:r>
      <w:r>
        <w:t xml:space="preserve"> </w:t>
      </w:r>
      <w:hyperlink r:id="rId77">
        <w:r>
          <w:rPr>
            <w:color w:val="222222"/>
          </w:rPr>
          <w:t>Psalm 69:4, 9, 21</w:t>
        </w:r>
      </w:hyperlink>
      <w:r>
        <w:t xml:space="preserve">; </w:t>
      </w:r>
      <w:hyperlink r:id="rId78">
        <w:r>
          <w:rPr>
            <w:color w:val="222222"/>
          </w:rPr>
          <w:t>John 2:17; 15:25; Romans 15:3; John 19:28–29.</w:t>
        </w:r>
      </w:hyperlink>
    </w:p>
  </w:footnote>
  <w:footnote w:id="42">
    <w:p>
      <w:pPr>
        <w:pStyle w:val="FootnoteText"/>
      </w:pPr>
      <w:r>
        <w:footnoteRef/>
      </w:r>
      <w:r>
        <w:t xml:space="preserve"> </w:t>
      </w:r>
      <w:hyperlink r:id="rId79">
        <w:r>
          <w:rPr>
            <w:color w:val="222222"/>
          </w:rPr>
          <w:t>Psalm 110:1–4</w:t>
        </w:r>
      </w:hyperlink>
      <w:r>
        <w:t xml:space="preserve">; </w:t>
      </w:r>
      <w:hyperlink r:id="rId80">
        <w:r>
          <w:rPr>
            <w:color w:val="222222"/>
          </w:rPr>
          <w:t>Mark 12:35–37; Acts 2:34–36; Hebrews 5–7.</w:t>
        </w:r>
      </w:hyperlink>
    </w:p>
  </w:footnote>
  <w:footnote w:id="43">
    <w:p>
      <w:pPr>
        <w:pStyle w:val="FootnoteText"/>
      </w:pPr>
      <w:r>
        <w:footnoteRef/>
      </w:r>
      <w:r>
        <w:t xml:space="preserve"> </w:t>
      </w:r>
      <w:hyperlink r:id="rId81">
        <w:r>
          <w:rPr>
            <w:color w:val="222222"/>
          </w:rPr>
          <w:t>Psalm 118:19–29</w:t>
        </w:r>
      </w:hyperlink>
      <w:r>
        <w:t xml:space="preserve">; </w:t>
      </w:r>
      <w:hyperlink r:id="rId82">
        <w:r>
          <w:rPr>
            <w:color w:val="222222"/>
          </w:rPr>
          <w:t>Mark 12:10–11; Matthew 21:9, 42; Acts 4:10–12; 1 Peter 2:4–7.</w:t>
        </w:r>
      </w:hyperlink>
    </w:p>
  </w:footnote>
  <w:footnote w:id="44">
    <w:p>
      <w:pPr>
        <w:pStyle w:val="FootnoteText"/>
      </w:pPr>
      <w:r>
        <w:footnoteRef/>
      </w:r>
      <w:r>
        <w:t xml:space="preserve"> </w:t>
      </w:r>
      <w:hyperlink r:id="rId83">
        <w:r>
          <w:rPr>
            <w:color w:val="222222"/>
          </w:rPr>
          <w:t>Jonah 1:17–2:10; 3–4</w:t>
        </w:r>
      </w:hyperlink>
      <w:r>
        <w:t xml:space="preserve">; </w:t>
      </w:r>
      <w:hyperlink r:id="rId84">
        <w:r>
          <w:rPr>
            <w:color w:val="222222"/>
          </w:rPr>
          <w:t>Matthew 12:38–42; Luke 11:29–32.</w:t>
        </w:r>
      </w:hyperlink>
    </w:p>
  </w:footnote>
  <w:footnote w:id="45">
    <w:p>
      <w:pPr>
        <w:pStyle w:val="FootnoteText"/>
      </w:pPr>
      <w:r>
        <w:footnoteRef/>
      </w:r>
      <w:r>
        <w:t xml:space="preserve"> </w:t>
      </w:r>
      <w:hyperlink r:id="rId85">
        <w:r>
          <w:rPr>
            <w:color w:val="222222"/>
          </w:rPr>
          <w:t>Amos 9:7–15</w:t>
        </w:r>
      </w:hyperlink>
      <w:r>
        <w:t xml:space="preserve">; </w:t>
      </w:r>
      <w:hyperlink r:id="rId86">
        <w:r>
          <w:rPr>
            <w:color w:val="222222"/>
          </w:rPr>
          <w:t>Acts 15:13–21.</w:t>
        </w:r>
      </w:hyperlink>
    </w:p>
  </w:footnote>
  <w:footnote w:id="46">
    <w:p>
      <w:pPr>
        <w:pStyle w:val="FootnoteText"/>
      </w:pPr>
      <w:r>
        <w:footnoteRef/>
      </w:r>
      <w:r>
        <w:t xml:space="preserve"> </w:t>
      </w:r>
      <w:hyperlink r:id="rId87">
        <w:r>
          <w:rPr>
            <w:color w:val="222222"/>
          </w:rPr>
          <w:t>Isaiah 6:1–13</w:t>
        </w:r>
      </w:hyperlink>
      <w:r>
        <w:t xml:space="preserve">; </w:t>
      </w:r>
      <w:hyperlink r:id="rId88">
        <w:r>
          <w:rPr>
            <w:color w:val="222222"/>
          </w:rPr>
          <w:t>John 12:37–43.</w:t>
        </w:r>
      </w:hyperlink>
    </w:p>
  </w:footnote>
  <w:footnote w:id="47">
    <w:p>
      <w:pPr>
        <w:pStyle w:val="FootnoteText"/>
      </w:pPr>
      <w:r>
        <w:footnoteRef/>
      </w:r>
      <w:r>
        <w:t xml:space="preserve"> </w:t>
      </w:r>
      <w:hyperlink r:id="rId89">
        <w:r>
          <w:rPr>
            <w:color w:val="222222"/>
          </w:rPr>
          <w:t>Isaiah 7:1–17</w:t>
        </w:r>
      </w:hyperlink>
      <w:r>
        <w:t xml:space="preserve">; </w:t>
      </w:r>
      <w:hyperlink r:id="rId90">
        <w:r>
          <w:rPr>
            <w:color w:val="222222"/>
          </w:rPr>
          <w:t>Matthew 1:18–25.</w:t>
        </w:r>
      </w:hyperlink>
    </w:p>
  </w:footnote>
  <w:footnote w:id="48">
    <w:p>
      <w:pPr>
        <w:pStyle w:val="FootnoteText"/>
      </w:pPr>
      <w:r>
        <w:footnoteRef/>
      </w:r>
      <w:r>
        <w:t xml:space="preserve"> </w:t>
      </w:r>
      <w:hyperlink r:id="rId91">
        <w:r>
          <w:rPr>
            <w:color w:val="222222"/>
          </w:rPr>
          <w:t>[ISA7] NET Bible translators, Isaiah 7:14 translation notes.</w:t>
        </w:r>
      </w:hyperlink>
    </w:p>
  </w:footnote>
  <w:footnote w:id="49">
    <w:p>
      <w:pPr>
        <w:pStyle w:val="FootnoteText"/>
      </w:pPr>
      <w:r>
        <w:footnoteRef/>
      </w:r>
      <w:r>
        <w:t xml:space="preserve"> </w:t>
      </w:r>
      <w:hyperlink r:id="rId92">
        <w:r>
          <w:rPr>
            <w:color w:val="222222"/>
          </w:rPr>
          <w:t>Isaiah 8:11–15; 28:14–18</w:t>
        </w:r>
      </w:hyperlink>
      <w:r>
        <w:t xml:space="preserve">; </w:t>
      </w:r>
      <w:hyperlink r:id="rId93">
        <w:r>
          <w:rPr>
            <w:color w:val="222222"/>
          </w:rPr>
          <w:t>Romans 9:30–33; 1 Peter 2:4–8.</w:t>
        </w:r>
      </w:hyperlink>
    </w:p>
  </w:footnote>
  <w:footnote w:id="50">
    <w:p>
      <w:pPr>
        <w:pStyle w:val="FootnoteText"/>
      </w:pPr>
      <w:r>
        <w:footnoteRef/>
      </w:r>
      <w:r>
        <w:t xml:space="preserve"> </w:t>
      </w:r>
      <w:hyperlink r:id="rId94">
        <w:r>
          <w:rPr>
            <w:color w:val="222222"/>
          </w:rPr>
          <w:t>Isaiah 9:1–7</w:t>
        </w:r>
      </w:hyperlink>
      <w:r>
        <w:t xml:space="preserve">; </w:t>
      </w:r>
      <w:hyperlink r:id="rId95">
        <w:r>
          <w:rPr>
            <w:color w:val="222222"/>
          </w:rPr>
          <w:t>Matthew 4:12–17; Luke 1:32–33 as related royal language.</w:t>
        </w:r>
      </w:hyperlink>
    </w:p>
  </w:footnote>
  <w:footnote w:id="51">
    <w:p>
      <w:pPr>
        <w:pStyle w:val="FootnoteText"/>
      </w:pPr>
      <w:r>
        <w:footnoteRef/>
      </w:r>
      <w:r>
        <w:t xml:space="preserve"> </w:t>
      </w:r>
      <w:hyperlink r:id="rId96">
        <w:r>
          <w:rPr>
            <w:color w:val="222222"/>
          </w:rPr>
          <w:t>Isaiah 11:1–10</w:t>
        </w:r>
      </w:hyperlink>
      <w:r>
        <w:t xml:space="preserve">; </w:t>
      </w:r>
      <w:hyperlink r:id="rId97">
        <w:r>
          <w:rPr>
            <w:color w:val="222222"/>
          </w:rPr>
          <w:t>Romans 15:8–13; Revelation 5:5.</w:t>
        </w:r>
      </w:hyperlink>
    </w:p>
  </w:footnote>
  <w:footnote w:id="52">
    <w:p>
      <w:pPr>
        <w:pStyle w:val="FootnoteText"/>
      </w:pPr>
      <w:r>
        <w:footnoteRef/>
      </w:r>
      <w:r>
        <w:t xml:space="preserve"> </w:t>
      </w:r>
      <w:hyperlink r:id="rId98">
        <w:r>
          <w:rPr>
            <w:color w:val="222222"/>
          </w:rPr>
          <w:t>Micah 5:1–5</w:t>
        </w:r>
      </w:hyperlink>
      <w:r>
        <w:t xml:space="preserve">; </w:t>
      </w:r>
      <w:hyperlink r:id="rId99">
        <w:r>
          <w:rPr>
            <w:color w:val="222222"/>
          </w:rPr>
          <w:t>Matthew 2:1–6; John 7:40–43.</w:t>
        </w:r>
      </w:hyperlink>
    </w:p>
  </w:footnote>
  <w:footnote w:id="53">
    <w:p>
      <w:pPr>
        <w:pStyle w:val="FootnoteText"/>
      </w:pPr>
      <w:r>
        <w:footnoteRef/>
      </w:r>
      <w:r>
        <w:t xml:space="preserve"> </w:t>
      </w:r>
      <w:hyperlink r:id="rId100">
        <w:r>
          <w:rPr>
            <w:color w:val="222222"/>
          </w:rPr>
          <w:t>Isaiah 40:1–11</w:t>
        </w:r>
      </w:hyperlink>
      <w:r>
        <w:t xml:space="preserve">; </w:t>
      </w:r>
      <w:hyperlink r:id="rId101">
        <w:r>
          <w:rPr>
            <w:color w:val="222222"/>
          </w:rPr>
          <w:t>Mark 1:2–4; Matthew 3:1–3; John 1:23.</w:t>
        </w:r>
      </w:hyperlink>
    </w:p>
  </w:footnote>
  <w:footnote w:id="54">
    <w:p>
      <w:pPr>
        <w:pStyle w:val="FootnoteText"/>
      </w:pPr>
      <w:r>
        <w:footnoteRef/>
      </w:r>
      <w:r>
        <w:t xml:space="preserve"> </w:t>
      </w:r>
      <w:hyperlink r:id="rId102">
        <w:r>
          <w:rPr>
            <w:color w:val="222222"/>
          </w:rPr>
          <w:t>Isaiah 42:1–9; 49:1–7; 50:4–9; 52:13–53:12</w:t>
        </w:r>
      </w:hyperlink>
      <w:r>
        <w:t xml:space="preserve">; </w:t>
      </w:r>
      <w:hyperlink r:id="rId103">
        <w:r>
          <w:rPr>
            <w:color w:val="222222"/>
          </w:rPr>
          <w:t>Matthew 12:15–21; Luke 22:37; Acts 8:26–35; 1 Peter 2:21–25.</w:t>
        </w:r>
      </w:hyperlink>
    </w:p>
  </w:footnote>
  <w:footnote w:id="55">
    <w:p>
      <w:pPr>
        <w:pStyle w:val="FootnoteText"/>
      </w:pPr>
      <w:r>
        <w:footnoteRef/>
      </w:r>
      <w:r>
        <w:t xml:space="preserve"> </w:t>
      </w:r>
      <w:hyperlink r:id="rId104">
        <w:r>
          <w:rPr>
            <w:color w:val="222222"/>
          </w:rPr>
          <w:t>[ISA53] NET Bible translators, Isaiah 53:10 translation notes</w:t>
        </w:r>
      </w:hyperlink>
      <w:r>
        <w:t xml:space="preserve">; </w:t>
      </w:r>
      <w:hyperlink r:id="rId105">
        <w:r>
          <w:rPr>
            <w:color w:val="222222"/>
          </w:rPr>
          <w:t>[JEWISHSERVANT] Wendy Zierler, The Stricken Messiah discussion.</w:t>
        </w:r>
      </w:hyperlink>
    </w:p>
  </w:footnote>
  <w:footnote w:id="56">
    <w:p>
      <w:pPr>
        <w:pStyle w:val="FootnoteText"/>
      </w:pPr>
      <w:r>
        <w:footnoteRef/>
      </w:r>
      <w:r>
        <w:t xml:space="preserve"> </w:t>
      </w:r>
      <w:hyperlink r:id="rId106">
        <w:r>
          <w:rPr>
            <w:color w:val="222222"/>
          </w:rPr>
          <w:t>Isaiah 61:1–3</w:t>
        </w:r>
      </w:hyperlink>
      <w:r>
        <w:t xml:space="preserve">; </w:t>
      </w:r>
      <w:hyperlink r:id="rId107">
        <w:r>
          <w:rPr>
            <w:color w:val="222222"/>
          </w:rPr>
          <w:t>Luke 4:16–21.</w:t>
        </w:r>
      </w:hyperlink>
    </w:p>
  </w:footnote>
  <w:footnote w:id="57">
    <w:p>
      <w:pPr>
        <w:pStyle w:val="FootnoteText"/>
      </w:pPr>
      <w:r>
        <w:footnoteRef/>
      </w:r>
      <w:r>
        <w:t xml:space="preserve"> </w:t>
      </w:r>
      <w:hyperlink r:id="rId108">
        <w:r>
          <w:rPr>
            <w:color w:val="222222"/>
          </w:rPr>
          <w:t>Jeremiah 31:31–34</w:t>
        </w:r>
      </w:hyperlink>
      <w:r>
        <w:t xml:space="preserve">; </w:t>
      </w:r>
      <w:hyperlink r:id="rId109">
        <w:r>
          <w:rPr>
            <w:color w:val="222222"/>
          </w:rPr>
          <w:t>Luke 22:20; Hebrews 8:6–13; 10:15–18.</w:t>
        </w:r>
      </w:hyperlink>
    </w:p>
  </w:footnote>
  <w:footnote w:id="58">
    <w:p>
      <w:pPr>
        <w:pStyle w:val="FootnoteText"/>
      </w:pPr>
      <w:r>
        <w:footnoteRef/>
      </w:r>
      <w:r>
        <w:t xml:space="preserve"> </w:t>
      </w:r>
      <w:hyperlink r:id="rId110">
        <w:r>
          <w:rPr>
            <w:color w:val="222222"/>
          </w:rPr>
          <w:t>Jeremiah 31:15–17</w:t>
        </w:r>
      </w:hyperlink>
      <w:r>
        <w:t xml:space="preserve">; </w:t>
      </w:r>
      <w:hyperlink r:id="rId111">
        <w:r>
          <w:rPr>
            <w:color w:val="222222"/>
          </w:rPr>
          <w:t>Matthew 2:16–18.</w:t>
        </w:r>
      </w:hyperlink>
    </w:p>
  </w:footnote>
  <w:footnote w:id="59">
    <w:p>
      <w:pPr>
        <w:pStyle w:val="FootnoteText"/>
      </w:pPr>
      <w:r>
        <w:footnoteRef/>
      </w:r>
      <w:r>
        <w:t xml:space="preserve"> </w:t>
      </w:r>
      <w:hyperlink r:id="rId112">
        <w:r>
          <w:rPr>
            <w:color w:val="222222"/>
          </w:rPr>
          <w:t>Ezekiel 34:1–31; 37:24–28</w:t>
        </w:r>
      </w:hyperlink>
      <w:r>
        <w:t xml:space="preserve">; </w:t>
      </w:r>
      <w:hyperlink r:id="rId113">
        <w:r>
          <w:rPr>
            <w:color w:val="222222"/>
          </w:rPr>
          <w:t>John 10:1–18; Luke 15:3–7; Hebrews 13:20.</w:t>
        </w:r>
      </w:hyperlink>
    </w:p>
  </w:footnote>
  <w:footnote w:id="60">
    <w:p>
      <w:pPr>
        <w:pStyle w:val="FootnoteText"/>
      </w:pPr>
      <w:r>
        <w:footnoteRef/>
      </w:r>
      <w:r>
        <w:t xml:space="preserve"> </w:t>
      </w:r>
      <w:hyperlink r:id="rId114">
        <w:r>
          <w:rPr>
            <w:color w:val="222222"/>
          </w:rPr>
          <w:t>[SHEPHERD] NET Bible translators, John 10:11 translation and study notes.</w:t>
        </w:r>
      </w:hyperlink>
    </w:p>
  </w:footnote>
  <w:footnote w:id="61">
    <w:p>
      <w:pPr>
        <w:pStyle w:val="FootnoteText"/>
      </w:pPr>
      <w:r>
        <w:footnoteRef/>
      </w:r>
      <w:r>
        <w:t xml:space="preserve"> </w:t>
      </w:r>
      <w:hyperlink r:id="rId115">
        <w:r>
          <w:rPr>
            <w:color w:val="222222"/>
          </w:rPr>
          <w:t>Daniel 7:9–14, 17–27</w:t>
        </w:r>
      </w:hyperlink>
      <w:r>
        <w:t xml:space="preserve">; </w:t>
      </w:r>
      <w:hyperlink r:id="rId116">
        <w:r>
          <w:rPr>
            <w:color w:val="222222"/>
          </w:rPr>
          <w:t>Mark 14:61–62; Matthew 26:64; Revelation 1:7, 13.</w:t>
        </w:r>
      </w:hyperlink>
    </w:p>
  </w:footnote>
  <w:footnote w:id="62">
    <w:p>
      <w:pPr>
        <w:pStyle w:val="FootnoteText"/>
      </w:pPr>
      <w:r>
        <w:footnoteRef/>
      </w:r>
      <w:r>
        <w:t xml:space="preserve"> </w:t>
      </w:r>
      <w:hyperlink r:id="rId117">
        <w:r>
          <w:rPr>
            <w:color w:val="222222"/>
          </w:rPr>
          <w:t>[DAN7] NET Bible translators, Daniel 7:13 Aramaic and interpretive notes.</w:t>
        </w:r>
      </w:hyperlink>
    </w:p>
  </w:footnote>
  <w:footnote w:id="63">
    <w:p>
      <w:pPr>
        <w:pStyle w:val="FootnoteText"/>
      </w:pPr>
      <w:r>
        <w:footnoteRef/>
      </w:r>
      <w:r>
        <w:t xml:space="preserve"> </w:t>
      </w:r>
      <w:hyperlink r:id="rId118">
        <w:r>
          <w:rPr>
            <w:color w:val="222222"/>
          </w:rPr>
          <w:t>Daniel 9:24–27</w:t>
        </w:r>
      </w:hyperlink>
      <w:r>
        <w:t xml:space="preserve">; </w:t>
      </w:r>
      <w:hyperlink r:id="rId119">
        <w:r>
          <w:rPr>
            <w:color w:val="222222"/>
          </w:rPr>
          <w:t>Matthew 24:15; Mark 13:14; Luke 21:20–24 concern related desolation, not explicit identification of the anointed figure.</w:t>
        </w:r>
      </w:hyperlink>
    </w:p>
  </w:footnote>
  <w:footnote w:id="64">
    <w:p>
      <w:pPr>
        <w:pStyle w:val="FootnoteText"/>
      </w:pPr>
      <w:r>
        <w:footnoteRef/>
      </w:r>
      <w:r>
        <w:t xml:space="preserve"> </w:t>
      </w:r>
      <w:hyperlink r:id="rId120">
        <w:r>
          <w:rPr>
            <w:color w:val="222222"/>
          </w:rPr>
          <w:t>[DAN9] NET Bible translators, Daniel 9:26 translation notes</w:t>
        </w:r>
      </w:hyperlink>
      <w:r>
        <w:t xml:space="preserve">; </w:t>
      </w:r>
      <w:hyperlink r:id="rId121">
        <w:r>
          <w:rPr>
            <w:color w:val="222222"/>
          </w:rPr>
          <w:t>[DAN9ALT] New American Bible Revised Edition editors, Daniel 9 notes on verses 24–27</w:t>
        </w:r>
      </w:hyperlink>
      <w:r>
        <w:t xml:space="preserve">; </w:t>
      </w:r>
      <w:hyperlink r:id="rId122">
        <w:r>
          <w:rPr>
            <w:color w:val="222222"/>
          </w:rPr>
          <w:t>[DAN9AUD] The Living Word, Daniel 9 Critical Audit.</w:t>
        </w:r>
      </w:hyperlink>
    </w:p>
  </w:footnote>
  <w:footnote w:id="65">
    <w:p>
      <w:pPr>
        <w:pStyle w:val="FootnoteText"/>
      </w:pPr>
      <w:r>
        <w:footnoteRef/>
      </w:r>
      <w:r>
        <w:t xml:space="preserve"> </w:t>
      </w:r>
      <w:hyperlink r:id="rId123">
        <w:r>
          <w:rPr>
            <w:color w:val="222222"/>
          </w:rPr>
          <w:t>Zechariah 9:9–10</w:t>
        </w:r>
      </w:hyperlink>
      <w:r>
        <w:t xml:space="preserve">; </w:t>
      </w:r>
      <w:hyperlink r:id="rId124">
        <w:r>
          <w:rPr>
            <w:color w:val="222222"/>
          </w:rPr>
          <w:t>Matthew 21:1–9; John 12:12–16.</w:t>
        </w:r>
      </w:hyperlink>
    </w:p>
  </w:footnote>
  <w:footnote w:id="66">
    <w:p>
      <w:pPr>
        <w:pStyle w:val="FootnoteText"/>
      </w:pPr>
      <w:r>
        <w:footnoteRef/>
      </w:r>
      <w:r>
        <w:t xml:space="preserve"> </w:t>
      </w:r>
      <w:hyperlink r:id="rId125">
        <w:r>
          <w:rPr>
            <w:color w:val="222222"/>
          </w:rPr>
          <w:t>Zechariah 11:4–17; Jeremiah 19; 32 as related imagery</w:t>
        </w:r>
      </w:hyperlink>
      <w:r>
        <w:t xml:space="preserve">; </w:t>
      </w:r>
      <w:hyperlink r:id="rId126">
        <w:r>
          <w:rPr>
            <w:color w:val="222222"/>
          </w:rPr>
          <w:t>Matthew 27:3–10.</w:t>
        </w:r>
      </w:hyperlink>
    </w:p>
  </w:footnote>
  <w:footnote w:id="67">
    <w:p>
      <w:pPr>
        <w:pStyle w:val="FootnoteText"/>
      </w:pPr>
      <w:r>
        <w:footnoteRef/>
      </w:r>
      <w:r>
        <w:t xml:space="preserve"> </w:t>
      </w:r>
      <w:hyperlink r:id="rId127">
        <w:r>
          <w:rPr>
            <w:color w:val="222222"/>
          </w:rPr>
          <w:t>Zechariah 12:10–13:1</w:t>
        </w:r>
      </w:hyperlink>
      <w:r>
        <w:t xml:space="preserve">; </w:t>
      </w:r>
      <w:hyperlink r:id="rId128">
        <w:r>
          <w:rPr>
            <w:color w:val="222222"/>
          </w:rPr>
          <w:t>John 19:34–37; Revelation 1:7.</w:t>
        </w:r>
      </w:hyperlink>
    </w:p>
  </w:footnote>
  <w:footnote w:id="68">
    <w:p>
      <w:pPr>
        <w:pStyle w:val="FootnoteText"/>
      </w:pPr>
      <w:r>
        <w:footnoteRef/>
      </w:r>
      <w:r>
        <w:t xml:space="preserve"> </w:t>
      </w:r>
      <w:hyperlink r:id="rId129">
        <w:r>
          <w:rPr>
            <w:color w:val="222222"/>
          </w:rPr>
          <w:t>[ZECH12] NET Bible translators, Zechariah 12:10 textual and translation notes.</w:t>
        </w:r>
      </w:hyperlink>
    </w:p>
  </w:footnote>
  <w:footnote w:id="69">
    <w:p>
      <w:pPr>
        <w:pStyle w:val="FootnoteText"/>
      </w:pPr>
      <w:r>
        <w:footnoteRef/>
      </w:r>
      <w:r>
        <w:t xml:space="preserve"> </w:t>
      </w:r>
      <w:hyperlink r:id="rId130">
        <w:r>
          <w:rPr>
            <w:color w:val="222222"/>
          </w:rPr>
          <w:t>Zechariah 13:7–9</w:t>
        </w:r>
      </w:hyperlink>
      <w:r>
        <w:t xml:space="preserve">; </w:t>
      </w:r>
      <w:hyperlink r:id="rId131">
        <w:r>
          <w:rPr>
            <w:color w:val="222222"/>
          </w:rPr>
          <w:t>Mark 14:27–31; Matthew 26:31–35.</w:t>
        </w:r>
      </w:hyperlink>
    </w:p>
  </w:footnote>
  <w:footnote w:id="70">
    <w:p>
      <w:pPr>
        <w:pStyle w:val="FootnoteText"/>
      </w:pPr>
      <w:r>
        <w:footnoteRef/>
      </w:r>
      <w:r>
        <w:t xml:space="preserve"> </w:t>
      </w:r>
      <w:hyperlink r:id="rId132">
        <w:r>
          <w:rPr>
            <w:color w:val="222222"/>
          </w:rPr>
          <w:t>Malachi 3:1–4; 4:5–6</w:t>
        </w:r>
      </w:hyperlink>
      <w:r>
        <w:t xml:space="preserve">; </w:t>
      </w:r>
      <w:hyperlink r:id="rId133">
        <w:r>
          <w:rPr>
            <w:color w:val="222222"/>
          </w:rPr>
          <w:t>Mark 1:2–4; Matthew 11:10–14; Luke 1:16–17.</w:t>
        </w:r>
      </w:hyperlink>
    </w:p>
  </w:footnote>
  <w:footnote w:id="71">
    <w:p>
      <w:pPr>
        <w:pStyle w:val="FootnoteText"/>
      </w:pPr>
      <w:r>
        <w:footnoteRef/>
      </w:r>
      <w:r>
        <w:t xml:space="preserve"> </w:t>
      </w:r>
      <w:hyperlink r:id="rId134">
        <w:r>
          <w:rPr>
            <w:color w:val="222222"/>
          </w:rPr>
          <w:t>Genesis 2:21–23; Romans 5:14.</w:t>
        </w:r>
      </w:hyperlink>
    </w:p>
  </w:footnote>
  <w:footnote w:id="72">
    <w:p>
      <w:pPr>
        <w:pStyle w:val="FootnoteText"/>
      </w:pPr>
      <w:r>
        <w:footnoteRef/>
      </w:r>
      <w:r>
        <w:t xml:space="preserve"> </w:t>
      </w:r>
      <w:hyperlink r:id="rId135">
        <w:r>
          <w:rPr>
            <w:color w:val="222222"/>
          </w:rPr>
          <w:t>Genesis 3:15; Matthew 1:18–25.</w:t>
        </w:r>
      </w:hyperlink>
    </w:p>
  </w:footnote>
  <w:footnote w:id="73">
    <w:p>
      <w:pPr>
        <w:pStyle w:val="FootnoteText"/>
      </w:pPr>
      <w:r>
        <w:footnoteRef/>
      </w:r>
      <w:r>
        <w:t xml:space="preserve"> </w:t>
      </w:r>
      <w:hyperlink r:id="rId136">
        <w:r>
          <w:rPr>
            <w:color w:val="222222"/>
          </w:rPr>
          <w:t>Genesis 14:18–20; Hebrews 7:3.</w:t>
        </w:r>
      </w:hyperlink>
    </w:p>
  </w:footnote>
  <w:footnote w:id="74">
    <w:p>
      <w:pPr>
        <w:pStyle w:val="FootnoteText"/>
      </w:pPr>
      <w:r>
        <w:footnoteRef/>
      </w:r>
      <w:r>
        <w:t xml:space="preserve"> </w:t>
      </w:r>
      <w:hyperlink r:id="rId137">
        <w:r>
          <w:rPr>
            <w:color w:val="222222"/>
          </w:rPr>
          <w:t>Genesis 22:1–19; 2 Chronicles 3:1.</w:t>
        </w:r>
      </w:hyperlink>
    </w:p>
  </w:footnote>
  <w:footnote w:id="75">
    <w:p>
      <w:pPr>
        <w:pStyle w:val="FootnoteText"/>
      </w:pPr>
      <w:r>
        <w:footnoteRef/>
      </w:r>
      <w:r>
        <w:t xml:space="preserve"> </w:t>
      </w:r>
      <w:hyperlink r:id="rId138">
        <w:r>
          <w:rPr>
            <w:color w:val="222222"/>
          </w:rPr>
          <w:t>Genesis 22:13; Matthew 27:29.</w:t>
        </w:r>
      </w:hyperlink>
    </w:p>
  </w:footnote>
  <w:footnote w:id="76">
    <w:p>
      <w:pPr>
        <w:pStyle w:val="FootnoteText"/>
      </w:pPr>
      <w:r>
        <w:footnoteRef/>
      </w:r>
      <w:r>
        <w:t xml:space="preserve"> </w:t>
      </w:r>
      <w:hyperlink r:id="rId139">
        <w:r>
          <w:rPr>
            <w:color w:val="222222"/>
          </w:rPr>
          <w:t>Genesis 40; Luke 23:32–43.</w:t>
        </w:r>
      </w:hyperlink>
    </w:p>
  </w:footnote>
  <w:footnote w:id="77">
    <w:p>
      <w:pPr>
        <w:pStyle w:val="FootnoteText"/>
      </w:pPr>
      <w:r>
        <w:footnoteRef/>
      </w:r>
      <w:r>
        <w:t xml:space="preserve"> </w:t>
      </w:r>
      <w:hyperlink r:id="rId140">
        <w:r>
          <w:rPr>
            <w:color w:val="222222"/>
          </w:rPr>
          <w:t>Genesis 39–41; 50:20; Matthew 2:13–15.</w:t>
        </w:r>
      </w:hyperlink>
    </w:p>
  </w:footnote>
  <w:footnote w:id="78">
    <w:p>
      <w:pPr>
        <w:pStyle w:val="FootnoteText"/>
      </w:pPr>
      <w:r>
        <w:footnoteRef/>
      </w:r>
      <w:r>
        <w:t xml:space="preserve"> </w:t>
      </w:r>
      <w:hyperlink r:id="rId141">
        <w:r>
          <w:rPr>
            <w:color w:val="222222"/>
          </w:rPr>
          <w:t>Exodus 25–31; Hebrews 8–10.</w:t>
        </w:r>
      </w:hyperlink>
    </w:p>
  </w:footnote>
  <w:footnote w:id="79">
    <w:p>
      <w:pPr>
        <w:pStyle w:val="FootnoteText"/>
      </w:pPr>
      <w:r>
        <w:footnoteRef/>
      </w:r>
      <w:r>
        <w:t xml:space="preserve"> </w:t>
      </w:r>
      <w:hyperlink r:id="rId142">
        <w:r>
          <w:rPr>
            <w:color w:val="222222"/>
          </w:rPr>
          <w:t>Numbers 21:4–9; John 3:14–17; Hebrews 4:15.</w:t>
        </w:r>
      </w:hyperlink>
    </w:p>
  </w:footnote>
  <w:footnote w:id="80">
    <w:p>
      <w:pPr>
        <w:pStyle w:val="FootnoteText"/>
      </w:pPr>
      <w:r>
        <w:footnoteRef/>
      </w:r>
      <w:r>
        <w:t xml:space="preserve"> </w:t>
      </w:r>
      <w:hyperlink r:id="rId143">
        <w:r>
          <w:rPr>
            <w:color w:val="222222"/>
          </w:rPr>
          <w:t>Psalm 22:16; John 19:23–24.</w:t>
        </w:r>
      </w:hyperlink>
    </w:p>
  </w:footnote>
  <w:footnote w:id="81">
    <w:p>
      <w:pPr>
        <w:pStyle w:val="FootnoteText"/>
      </w:pPr>
      <w:r>
        <w:footnoteRef/>
      </w:r>
      <w:r>
        <w:t xml:space="preserve"> </w:t>
      </w:r>
      <w:hyperlink r:id="rId144">
        <w:r>
          <w:rPr>
            <w:color w:val="222222"/>
          </w:rPr>
          <w:t>Jonah 2:1–10; Matthew 12:40.</w:t>
        </w:r>
      </w:hyperlink>
    </w:p>
  </w:footnote>
  <w:footnote w:id="82">
    <w:p>
      <w:pPr>
        <w:pStyle w:val="FootnoteText"/>
      </w:pPr>
      <w:r>
        <w:footnoteRef/>
      </w:r>
      <w:r>
        <w:t xml:space="preserve"> </w:t>
      </w:r>
      <w:hyperlink r:id="rId145">
        <w:r>
          <w:rPr>
            <w:color w:val="222222"/>
          </w:rPr>
          <w:t>Isaiah 41:8–9; 49:3–6; 53; later Sanhedrin 98a reception.</w:t>
        </w:r>
      </w:hyperlink>
    </w:p>
  </w:footnote>
  <w:footnote w:id="83">
    <w:p>
      <w:pPr>
        <w:pStyle w:val="FootnoteText"/>
      </w:pPr>
      <w:r>
        <w:footnoteRef/>
      </w:r>
      <w:r>
        <w:t xml:space="preserve"> </w:t>
      </w:r>
      <w:hyperlink r:id="rId146">
        <w:r>
          <w:rPr>
            <w:color w:val="222222"/>
          </w:rPr>
          <w:t>[JEWISHSERVANT] Wendy Zierler, The Stricken Messiah discussion.</w:t>
        </w:r>
      </w:hyperlink>
    </w:p>
  </w:footnote>
  <w:footnote w:id="84">
    <w:p>
      <w:pPr>
        <w:pStyle w:val="FootnoteText"/>
      </w:pPr>
      <w:r>
        <w:footnoteRef/>
      </w:r>
      <w:r>
        <w:t xml:space="preserve"> </w:t>
      </w:r>
      <w:hyperlink r:id="rId147">
        <w:r>
          <w:rPr>
            <w:color w:val="222222"/>
          </w:rPr>
          <w:t>Daniel 9:24–27.</w:t>
        </w:r>
      </w:hyperlink>
    </w:p>
  </w:footnote>
  <w:footnote w:id="85">
    <w:p>
      <w:pPr>
        <w:pStyle w:val="FootnoteText"/>
      </w:pPr>
      <w:r>
        <w:footnoteRef/>
      </w:r>
      <w:r>
        <w:t xml:space="preserve"> </w:t>
      </w:r>
      <w:hyperlink r:id="rId148">
        <w:r>
          <w:rPr>
            <w:color w:val="222222"/>
          </w:rPr>
          <w:t>[DAN9AUD] The Living Word, Daniel 9 Critical Audit.</w:t>
        </w:r>
      </w:hyperlink>
    </w:p>
  </w:footnote>
  <w:footnote w:id="86">
    <w:p>
      <w:pPr>
        <w:pStyle w:val="FootnoteText"/>
      </w:pPr>
      <w:r>
        <w:footnoteRef/>
      </w:r>
      <w:r>
        <w:t xml:space="preserve"> </w:t>
      </w:r>
      <w:hyperlink r:id="rId149">
        <w:r>
          <w:rPr>
            <w:color w:val="222222"/>
          </w:rPr>
          <w:t>Matthew 14:22–33; Mark 6:45–52.</w:t>
        </w:r>
      </w:hyperlink>
    </w:p>
  </w:footnote>
  <w:footnote w:id="87">
    <w:p>
      <w:pPr>
        <w:pStyle w:val="FootnoteText"/>
      </w:pPr>
      <w:r>
        <w:footnoteRef/>
      </w:r>
      <w:r>
        <w:t xml:space="preserve"> </w:t>
      </w:r>
      <w:hyperlink r:id="rId150">
        <w:r>
          <w:rPr>
            <w:color w:val="222222"/>
          </w:rPr>
          <w:t>John 19:34; 20:25–27.</w:t>
        </w:r>
      </w:hyperlink>
    </w:p>
  </w:footnote>
  <w:footnote w:id="88">
    <w:p>
      <w:pPr>
        <w:pStyle w:val="FootnoteText"/>
      </w:pPr>
      <w:r>
        <w:footnoteRef/>
      </w:r>
      <w:r>
        <w:t xml:space="preserve"> </w:t>
      </w:r>
      <w:hyperlink r:id="rId151">
        <w:r>
          <w:rPr>
            <w:color w:val="222222"/>
          </w:rPr>
          <w:t>Matthew 27:45; Mark 15:33; Luke 23:44.</w:t>
        </w:r>
      </w:hyperlink>
    </w:p>
  </w:footnote>
  <w:footnote w:id="89">
    <w:p>
      <w:pPr>
        <w:pStyle w:val="FootnoteText"/>
      </w:pPr>
      <w:r>
        <w:footnoteRef/>
      </w:r>
      <w:r>
        <w:t xml:space="preserve"> </w:t>
      </w:r>
      <w:hyperlink r:id="rId152">
        <w:r>
          <w:rPr>
            <w:color w:val="222222"/>
          </w:rPr>
          <w:t>Luke 24:27, 44–47.</w:t>
        </w:r>
      </w:hyperlink>
    </w:p>
  </w:footnote>
  <w:footnote w:id="90">
    <w:p>
      <w:pPr>
        <w:pStyle w:val="FootnoteText"/>
      </w:pPr>
      <w:r>
        <w:footnoteRef/>
      </w:r>
      <w:r>
        <w:t xml:space="preserve"> </w:t>
      </w:r>
      <w:hyperlink r:id="rId153">
        <w:r>
          <w:rPr>
            <w:color w:val="222222"/>
          </w:rPr>
          <w:t>Hosea 6:1–3; 1 Corinthians 15:4.</w:t>
        </w:r>
      </w:hyperlink>
    </w:p>
  </w:footnote>
  <w:footnote w:id="91">
    <w:p>
      <w:pPr>
        <w:pStyle w:val="FootnoteText"/>
      </w:pPr>
      <w:r>
        <w:footnoteRef/>
      </w:r>
      <w:r>
        <w:t xml:space="preserve"> </w:t>
      </w:r>
      <w:hyperlink r:id="rId154">
        <w:r>
          <w:rPr>
            <w:color w:val="222222"/>
          </w:rPr>
          <w:t>[GAL] NET Bible translators, Galatians 3:16 text and notes</w:t>
        </w:r>
      </w:hyperlink>
      <w:r>
        <w:t xml:space="preserve">; </w:t>
      </w:r>
      <w:hyperlink r:id="rId155">
        <w:r>
          <w:rPr>
            <w:color w:val="222222"/>
          </w:rPr>
          <w:t>[G3] NET Bible translators, Genesis 3:15 translation and study notes.</w:t>
        </w:r>
      </w:hyperlink>
    </w:p>
  </w:footnote>
  <w:footnote w:id="92">
    <w:p>
      <w:pPr>
        <w:pStyle w:val="FootnoteText"/>
      </w:pPr>
      <w:r>
        <w:footnoteRef/>
      </w:r>
      <w:r>
        <w:t xml:space="preserve"> </w:t>
      </w:r>
      <w:hyperlink r:id="rId156">
        <w:r>
          <w:rPr>
            <w:color w:val="222222"/>
          </w:rPr>
          <w:t>[PS22] NET Bible translators, Psalm 22:16 textual and translation note.</w:t>
        </w:r>
      </w:hyperlink>
    </w:p>
  </w:footnote>
  <w:footnote w:id="93">
    <w:p>
      <w:pPr>
        <w:pStyle w:val="FootnoteText"/>
      </w:pPr>
      <w:r>
        <w:footnoteRef/>
      </w:r>
      <w:r>
        <w:t xml:space="preserve"> </w:t>
      </w:r>
      <w:hyperlink r:id="rId157">
        <w:r>
          <w:rPr>
            <w:color w:val="222222"/>
          </w:rPr>
          <w:t>[ISA7] NET Bible translators, Isaiah 7:14 translation notes.</w:t>
        </w:r>
      </w:hyperlink>
    </w:p>
  </w:footnote>
  <w:footnote w:id="94">
    <w:p>
      <w:pPr>
        <w:pStyle w:val="FootnoteText"/>
      </w:pPr>
      <w:r>
        <w:footnoteRef/>
      </w:r>
      <w:r>
        <w:t xml:space="preserve"> </w:t>
      </w:r>
      <w:hyperlink r:id="rId158">
        <w:r>
          <w:rPr>
            <w:color w:val="222222"/>
          </w:rPr>
          <w:t>[DAN7] NET Bible translators, Daniel 7:13 Aramaic and interpretive notes.</w:t>
        </w:r>
      </w:hyperlink>
    </w:p>
  </w:footnote>
  <w:footnote w:id="95">
    <w:p>
      <w:pPr>
        <w:pStyle w:val="FootnoteText"/>
      </w:pPr>
      <w:r>
        <w:footnoteRef/>
      </w:r>
      <w:r>
        <w:t xml:space="preserve"> </w:t>
      </w:r>
      <w:hyperlink r:id="rId159">
        <w:r>
          <w:rPr>
            <w:color w:val="222222"/>
          </w:rPr>
          <w:t>[ISAAC] NET Bible translators, Hebrews 11:19 text and notes</w:t>
        </w:r>
      </w:hyperlink>
      <w:r>
        <w:t xml:space="preserve">; </w:t>
      </w:r>
      <w:hyperlink r:id="rId160">
        <w:r>
          <w:rPr>
            <w:color w:val="222222"/>
          </w:rPr>
          <w:t>[AQ] Abraham Kuruvilla, The Aqedah.</w:t>
        </w:r>
      </w:hyperlink>
    </w:p>
  </w:footnote>
  <w:footnote w:id="96">
    <w:p>
      <w:pPr>
        <w:pStyle w:val="FootnoteText"/>
      </w:pPr>
      <w:r>
        <w:footnoteRef/>
      </w:r>
      <w:r>
        <w:t xml:space="preserve"> </w:t>
      </w:r>
      <w:hyperlink r:id="rId161">
        <w:r>
          <w:rPr>
            <w:color w:val="222222"/>
          </w:rPr>
          <w:t>[11Q] Florentino García Martínez and Eibert J. C. Tigchelaar, editors, 11Q13, pp. 1206–1209.</w:t>
        </w:r>
      </w:hyperlink>
    </w:p>
  </w:footnote>
  <w:footnote w:id="97">
    <w:p>
      <w:pPr>
        <w:pStyle w:val="FootnoteText"/>
      </w:pPr>
      <w:r>
        <w:footnoteRef/>
      </w:r>
      <w:r>
        <w:t xml:space="preserve"> </w:t>
      </w:r>
      <w:hyperlink r:id="rId162">
        <w:r>
          <w:rPr>
            <w:color w:val="222222"/>
          </w:rPr>
          <w:t>[PS40] Brandon D. Crowe, Reading Psalm 40 Messianically</w:t>
        </w:r>
      </w:hyperlink>
      <w:r>
        <w:t xml:space="preserve">; </w:t>
      </w:r>
      <w:hyperlink r:id="rId163">
        <w:r>
          <w:rPr>
            <w:color w:val="222222"/>
          </w:rPr>
          <w:t>[EARS] NET Bible editors, Psalm 40:6 Hebrew and Greek comparison.</w:t>
        </w:r>
      </w:hyperlink>
    </w:p>
  </w:footnote>
  <w:footnote w:id="98">
    <w:p>
      <w:pPr>
        <w:pStyle w:val="FootnoteText"/>
      </w:pPr>
      <w:r>
        <w:footnoteRef/>
      </w:r>
      <w:r>
        <w:t xml:space="preserve"> </w:t>
      </w:r>
      <w:hyperlink r:id="rId164">
        <w:r>
          <w:rPr>
            <w:color w:val="222222"/>
          </w:rPr>
          <w:t>[ZECH12] NET Bible translators, Zechariah 12:10 textual and translation notes.</w:t>
        </w:r>
      </w:hyperlink>
    </w:p>
  </w:footnote>
  <w:footnote w:id="99">
    <w:p>
      <w:pPr>
        <w:pStyle w:val="FootnoteText"/>
      </w:pPr>
      <w:r>
        <w:footnoteRef/>
      </w:r>
      <w:r>
        <w:t xml:space="preserve"> </w:t>
      </w:r>
      <w:hyperlink r:id="rId165">
        <w:r>
          <w:rPr>
            <w:color w:val="222222"/>
          </w:rPr>
          <w:t>[DAN9] NET Bible translators, Daniel 9:26 translation notes</w:t>
        </w:r>
      </w:hyperlink>
      <w:r>
        <w:t xml:space="preserve">; </w:t>
      </w:r>
      <w:hyperlink r:id="rId166">
        <w:r>
          <w:rPr>
            <w:color w:val="222222"/>
          </w:rPr>
          <w:t>[DAN9ALT] New American Bible Revised Edition editors, Daniel 9 notes on verses 24–27</w:t>
        </w:r>
      </w:hyperlink>
      <w:r>
        <w:t xml:space="preserve">; </w:t>
      </w:r>
      <w:hyperlink r:id="rId167">
        <w:r>
          <w:rPr>
            <w:color w:val="222222"/>
          </w:rPr>
          <w:t>[DAN9AUD] The Living Word, Daniel 9 Critical Audit.</w:t>
        </w:r>
      </w:hyperlink>
    </w:p>
  </w:footnote>
  <w:footnote w:id="100">
    <w:p>
      <w:pPr>
        <w:pStyle w:val="FootnoteText"/>
      </w:pPr>
      <w:r>
        <w:footnoteRef/>
      </w:r>
      <w:r>
        <w:t xml:space="preserve"> </w:t>
      </w:r>
      <w:hyperlink r:id="rId168">
        <w:r>
          <w:rPr>
            <w:color w:val="222222"/>
          </w:rPr>
          <w:t>[PS2] Marc Zvi Brettler and Amy-Jill Levine, Psalm 2 and messianic sonship</w:t>
        </w:r>
      </w:hyperlink>
      <w:r>
        <w:t xml:space="preserve">; </w:t>
      </w:r>
      <w:hyperlink r:id="rId169">
        <w:r>
          <w:rPr>
            <w:color w:val="222222"/>
          </w:rPr>
          <w:t>[11Q] Florentino García Martínez and Eibert J. C. Tigchelaar, editors, 11Q13, pp. 1206–1209.</w:t>
        </w:r>
      </w:hyperlink>
    </w:p>
  </w:footnote>
  <w:footnote w:id="101">
    <w:p>
      <w:pPr>
        <w:pStyle w:val="FootnoteText"/>
      </w:pPr>
      <w:r>
        <w:footnoteRef/>
      </w:r>
      <w:r>
        <w:t xml:space="preserve"> </w:t>
      </w:r>
      <w:hyperlink r:id="rId170">
        <w:r>
          <w:rPr>
            <w:color w:val="222222"/>
          </w:rPr>
          <w:t>[JEWISHSERVANT] Wendy Zierler, The Stricken Messiah discussion.</w:t>
        </w:r>
      </w:hyperlink>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59" w:lineRule="auto" w:after="140"/>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40" w:line="259" w:lineRule="auto"/>
      <w:outlineLvl w:val="0"/>
    </w:pPr>
    <w:rPr>
      <w:rFonts w:asciiTheme="majorHAnsi" w:eastAsiaTheme="majorEastAsia" w:hAnsiTheme="majorHAnsi" w:cstheme="majorBidi" w:ascii="Calibri" w:hAnsi="Calibr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40" w:after="140" w:line="259" w:lineRule="auto"/>
      <w:outlineLvl w:val="1"/>
    </w:pPr>
    <w:rPr>
      <w:rFonts w:asciiTheme="majorHAnsi" w:eastAsiaTheme="majorEastAsia" w:hAnsiTheme="majorHAnsi" w:cstheme="majorBidi" w:ascii="Calibri" w:hAnsi="Calibri"/>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59" w:lineRule="auto"/>
      <w:contextualSpacing/>
    </w:pPr>
    <w:rPr>
      <w:rFonts w:asciiTheme="majorHAnsi" w:eastAsiaTheme="majorEastAsia" w:hAnsiTheme="majorHAnsi" w:cstheme="majorBidi" w:ascii="Calibri" w:hAnsi="Calibri"/>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FootnoteText">
    <w:name w:val="Footnote Text"/>
    <w:pPr>
      <w:keepLines/>
      <w:spacing w:line="240" w:lineRule="auto" w:after="40"/>
    </w:pPr>
    <w:rPr>
      <w:rFonts w:ascii="Calibri" w:hAnsi="Calibri"/>
      <w:color w:val="000000"/>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classic.net.bible.org/verse.php?book=Gen&amp;chapter=3&amp;verse=15" TargetMode="External"/><Relationship Id="rId10" Type="http://schemas.openxmlformats.org/officeDocument/2006/relationships/hyperlink" Target="https://www.thegospelcoalition.org/themelios/article/the-individual-and-collective-offspring-of-the-woman-the-canonical-outworking-of-genesis-315/" TargetMode="External"/><Relationship Id="rId11" Type="http://schemas.openxmlformats.org/officeDocument/2006/relationships/hyperlink" Target="https://www.galaxie.com/article/tynbul48-2-10" TargetMode="External"/><Relationship Id="rId12" Type="http://schemas.openxmlformats.org/officeDocument/2006/relationships/hyperlink" Target="https://classic.net.bible.org/verse.php?book=Gal&amp;chapter=3&amp;verse=16" TargetMode="External"/><Relationship Id="rId13" Type="http://schemas.openxmlformats.org/officeDocument/2006/relationships/hyperlink" Target="https://etsjets.org/wp-content/uploads/2012/10/files_JETS-PDFs_55_55-3_JETS_55-3_489-508_Kuruvilla.pdf" TargetMode="External"/><Relationship Id="rId14" Type="http://schemas.openxmlformats.org/officeDocument/2006/relationships/hyperlink" Target="https://classic.net.bible.org/verse.php?book=Heb&amp;chapter=11&amp;verse=19" TargetMode="External"/><Relationship Id="rId15" Type="http://schemas.openxmlformats.org/officeDocument/2006/relationships/hyperlink" Target="https://classic.net.bible.org/verse.php?book=Rom&amp;chapter=8&amp;verse=32" TargetMode="External"/><Relationship Id="rId16" Type="http://schemas.openxmlformats.org/officeDocument/2006/relationships/hyperlink" Target="https://seminary.bju.edu/theology-in-3d/seeing-joseph-as-a-type-of-christ/" TargetMode="External"/><Relationship Id="rId17" Type="http://schemas.openxmlformats.org/officeDocument/2006/relationships/hyperlink" Target="https://seminary.bju.edu/theology-in-3d/joseph-retyped/" TargetMode="External"/><Relationship Id="rId18" Type="http://schemas.openxmlformats.org/officeDocument/2006/relationships/hyperlink" Target="https://classic.net.bible.org/verse.php?book=Gen&amp;chapter=49&amp;verse=10" TargetMode="External"/><Relationship Id="rId19" Type="http://schemas.openxmlformats.org/officeDocument/2006/relationships/hyperlink" Target="https://www.thetorah.com/article/psalm-2-is-the-messiah-the-son-of-god" TargetMode="External"/><Relationship Id="rId20" Type="http://schemas.openxmlformats.org/officeDocument/2006/relationships/hyperlink" Target="https://classic.net.bible.org/verse.php?book=Psa&amp;chapter=22&amp;verse=16" TargetMode="External"/><Relationship Id="rId21" Type="http://schemas.openxmlformats.org/officeDocument/2006/relationships/hyperlink" Target="https://journal.rts.edu/article/reading-psalm-40-messianically/" TargetMode="External"/><Relationship Id="rId22" Type="http://schemas.openxmlformats.org/officeDocument/2006/relationships/hyperlink" Target="https://classic.net.bible.org/verse.php?book=Psa&amp;chapter=40&amp;verse=6" TargetMode="External"/><Relationship Id="rId23" Type="http://schemas.openxmlformats.org/officeDocument/2006/relationships/hyperlink" Target="https://classic.net.bible.org/verse.php?book=Isa&amp;chapter=7&amp;verse=14" TargetMode="External"/><Relationship Id="rId24" Type="http://schemas.openxmlformats.org/officeDocument/2006/relationships/hyperlink" Target="https://classic.net.bible.org/verse.php?book=Isa&amp;chapter=53&amp;verse=10" TargetMode="External"/><Relationship Id="rId25" Type="http://schemas.openxmlformats.org/officeDocument/2006/relationships/hyperlink" Target="https://www.thetorah.com/article/the-skin-of-the-metzora-and-the-heart-of-the-messiah" TargetMode="External"/><Relationship Id="rId26" Type="http://schemas.openxmlformats.org/officeDocument/2006/relationships/hyperlink" Target="https://classic.net.bible.org/verse.php?book=Dan&amp;chapter=7&amp;verse=13" TargetMode="External"/><Relationship Id="rId27" Type="http://schemas.openxmlformats.org/officeDocument/2006/relationships/hyperlink" Target="https://classic.net.bible.org/verse.php?book=Dan&amp;chapter=9&amp;verse=26" TargetMode="External"/><Relationship Id="rId28" Type="http://schemas.openxmlformats.org/officeDocument/2006/relationships/hyperlink" Target="https://bible.usccb.org/bible/daniel/9" TargetMode="External"/><Relationship Id="rId29" Type="http://schemas.openxmlformats.org/officeDocument/2006/relationships/hyperlink" Target="https://classic.net.bible.org/verse.php?book=Zec&amp;chapter=12&amp;verse=10" TargetMode="External"/><Relationship Id="rId30" Type="http://schemas.openxmlformats.org/officeDocument/2006/relationships/hyperlink" Target="https://journal.kci.go.kr/ksots/archive/articlePdf?artiId=ART002505074" TargetMode="External"/><Relationship Id="rId31" Type="http://schemas.openxmlformats.org/officeDocument/2006/relationships/hyperlink" Target="https://rts.edu/resources/did-jesus-and-the-apostles-preach-the-right-doctrine-from-the-wrong-old-testament-texts/" TargetMode="External"/><Relationship Id="rId32" Type="http://schemas.openxmlformats.org/officeDocument/2006/relationships/hyperlink" Target="https://www.marquette.edu/maqom/11QMelchizedek.pdf" TargetMode="External"/><Relationship Id="rId33" Type="http://schemas.openxmlformats.org/officeDocument/2006/relationships/hyperlink" Target="https://classic.net.bible.org/verse.php?book=Joh&amp;chapter=10&amp;verse=11" TargetMode="External"/><Relationship Id="rId34" Type="http://schemas.openxmlformats.org/officeDocument/2006/relationships/hyperlink" Target="Daniel_9_Critical_Audit.docx" TargetMode="External"/><Relationship Id="rIdResearchFootnotes" Type="http://schemas.openxmlformats.org/officeDocument/2006/relationships/footnotes" Target="footnotes.xml"/></Relationships>
</file>

<file path=word/_rels/footnotes.xml.rels><?xml version='1.0' encoding='UTF-8' standalone='yes'?>
<Relationships xmlns="http://schemas.openxmlformats.org/package/2006/relationships"><Relationship Id="rId1" Type="http://schemas.openxmlformats.org/officeDocument/2006/relationships/hyperlink" Target="https://www.esv.org/Luke+24/" TargetMode="External"/><Relationship Id="rId2" Type="http://schemas.openxmlformats.org/officeDocument/2006/relationships/hyperlink" Target="https://www.esv.org/Genesis+1/" TargetMode="External"/><Relationship Id="rId3" Type="http://schemas.openxmlformats.org/officeDocument/2006/relationships/hyperlink" Target="https://www.esv.org/Romans+5/" TargetMode="External"/><Relationship Id="rId4" Type="http://schemas.openxmlformats.org/officeDocument/2006/relationships/hyperlink" Target="https://www.esv.org/Genesis+3/" TargetMode="External"/><Relationship Id="rId5" Type="http://schemas.openxmlformats.org/officeDocument/2006/relationships/hyperlink" Target="https://www.esv.org/Romans+16/" TargetMode="External"/><Relationship Id="rId6" Type="http://schemas.openxmlformats.org/officeDocument/2006/relationships/hyperlink" Target="https://classic.net.bible.org/verse.php?book=Gen&amp;chapter=3&amp;verse=15" TargetMode="External"/><Relationship Id="rId7" Type="http://schemas.openxmlformats.org/officeDocument/2006/relationships/hyperlink" Target="https://www.thegospelcoalition.org/themelios/article/the-individual-and-collective-offspring-of-the-woman-the-canonical-outworking-of-genesis-315/" TargetMode="External"/><Relationship Id="rId8" Type="http://schemas.openxmlformats.org/officeDocument/2006/relationships/hyperlink" Target="https://www.galaxie.com/article/tynbul48-2-10" TargetMode="External"/><Relationship Id="rId9" Type="http://schemas.openxmlformats.org/officeDocument/2006/relationships/hyperlink" Target="https://www.esv.org/Genesis+4/" TargetMode="External"/><Relationship Id="rId10" Type="http://schemas.openxmlformats.org/officeDocument/2006/relationships/hyperlink" Target="https://www.esv.org/Hebrews+11/" TargetMode="External"/><Relationship Id="rId11" Type="http://schemas.openxmlformats.org/officeDocument/2006/relationships/hyperlink" Target="https://www.esv.org/Genesis+6/" TargetMode="External"/><Relationship Id="rId12" Type="http://schemas.openxmlformats.org/officeDocument/2006/relationships/hyperlink" Target="https://www.esv.org/1+Peter+3/" TargetMode="External"/><Relationship Id="rId13" Type="http://schemas.openxmlformats.org/officeDocument/2006/relationships/hyperlink" Target="https://www.esv.org/Genesis+12/" TargetMode="External"/><Relationship Id="rId14" Type="http://schemas.openxmlformats.org/officeDocument/2006/relationships/hyperlink" Target="https://www.esv.org/Galatians+3/" TargetMode="External"/><Relationship Id="rId15" Type="http://schemas.openxmlformats.org/officeDocument/2006/relationships/hyperlink" Target="https://classic.net.bible.org/verse.php?book=Gal&amp;chapter=3&amp;verse=16" TargetMode="External"/><Relationship Id="rId16" Type="http://schemas.openxmlformats.org/officeDocument/2006/relationships/hyperlink" Target="https://www.galaxie.com/article/tynbul48-2-10" TargetMode="External"/><Relationship Id="rId17" Type="http://schemas.openxmlformats.org/officeDocument/2006/relationships/hyperlink" Target="https://www.esv.org/Genesis+14/" TargetMode="External"/><Relationship Id="rId18" Type="http://schemas.openxmlformats.org/officeDocument/2006/relationships/hyperlink" Target="https://www.esv.org/Hebrews+5/" TargetMode="External"/><Relationship Id="rId19" Type="http://schemas.openxmlformats.org/officeDocument/2006/relationships/hyperlink" Target="https://www.marquette.edu/maqom/11QMelchizedek.pdf" TargetMode="External"/><Relationship Id="rId20" Type="http://schemas.openxmlformats.org/officeDocument/2006/relationships/hyperlink" Target="https://www.esv.org/Genesis+22/" TargetMode="External"/><Relationship Id="rId21" Type="http://schemas.openxmlformats.org/officeDocument/2006/relationships/hyperlink" Target="https://www.esv.org/Hebrews+11/" TargetMode="External"/><Relationship Id="rId22" Type="http://schemas.openxmlformats.org/officeDocument/2006/relationships/hyperlink" Target="https://etsjets.org/wp-content/uploads/2012/10/files_JETS-PDFs_55_55-3_JETS_55-3_489-508_Kuruvilla.pdf" TargetMode="External"/><Relationship Id="rId23" Type="http://schemas.openxmlformats.org/officeDocument/2006/relationships/hyperlink" Target="https://classic.net.bible.org/verse.php?book=Heb&amp;chapter=11&amp;verse=19" TargetMode="External"/><Relationship Id="rId24" Type="http://schemas.openxmlformats.org/officeDocument/2006/relationships/hyperlink" Target="https://classic.net.bible.org/verse.php?book=Rom&amp;chapter=8&amp;verse=32" TargetMode="External"/><Relationship Id="rId25" Type="http://schemas.openxmlformats.org/officeDocument/2006/relationships/hyperlink" Target="https://www.esv.org/Genesis+28/" TargetMode="External"/><Relationship Id="rId26" Type="http://schemas.openxmlformats.org/officeDocument/2006/relationships/hyperlink" Target="https://www.esv.org/John+1/" TargetMode="External"/><Relationship Id="rId27" Type="http://schemas.openxmlformats.org/officeDocument/2006/relationships/hyperlink" Target="https://www.esv.org/Genesis+37/" TargetMode="External"/><Relationship Id="rId28" Type="http://schemas.openxmlformats.org/officeDocument/2006/relationships/hyperlink" Target="https://www.esv.org/Acts+7/" TargetMode="External"/><Relationship Id="rId29" Type="http://schemas.openxmlformats.org/officeDocument/2006/relationships/hyperlink" Target="https://seminary.bju.edu/theology-in-3d/seeing-joseph-as-a-type-of-christ/" TargetMode="External"/><Relationship Id="rId30" Type="http://schemas.openxmlformats.org/officeDocument/2006/relationships/hyperlink" Target="https://seminary.bju.edu/theology-in-3d/joseph-retyped/" TargetMode="External"/><Relationship Id="rId31" Type="http://schemas.openxmlformats.org/officeDocument/2006/relationships/hyperlink" Target="https://www.esv.org/Genesis+49/" TargetMode="External"/><Relationship Id="rId32" Type="http://schemas.openxmlformats.org/officeDocument/2006/relationships/hyperlink" Target="https://www.esv.org/Hebrews+7/" TargetMode="External"/><Relationship Id="rId33" Type="http://schemas.openxmlformats.org/officeDocument/2006/relationships/hyperlink" Target="https://classic.net.bible.org/verse.php?book=Gen&amp;chapter=49&amp;verse=10" TargetMode="External"/><Relationship Id="rId34" Type="http://schemas.openxmlformats.org/officeDocument/2006/relationships/hyperlink" Target="https://www.esv.org/Exodus+12/" TargetMode="External"/><Relationship Id="rId35" Type="http://schemas.openxmlformats.org/officeDocument/2006/relationships/hyperlink" Target="https://www.esv.org/1+Corinthians+5/" TargetMode="External"/><Relationship Id="rId36" Type="http://schemas.openxmlformats.org/officeDocument/2006/relationships/hyperlink" Target="https://www.esv.org/Exodus+4/" TargetMode="External"/><Relationship Id="rId37" Type="http://schemas.openxmlformats.org/officeDocument/2006/relationships/hyperlink" Target="https://www.esv.org/Matthew+2/" TargetMode="External"/><Relationship Id="rId38" Type="http://schemas.openxmlformats.org/officeDocument/2006/relationships/hyperlink" Target="https://journal.kci.go.kr/ksots/archive/articlePdf?artiId=ART002505074" TargetMode="External"/><Relationship Id="rId39" Type="http://schemas.openxmlformats.org/officeDocument/2006/relationships/hyperlink" Target="https://rts.edu/resources/did-jesus-and-the-apostles-preach-the-right-doctrine-from-the-wrong-old-testament-texts/" TargetMode="External"/><Relationship Id="rId40" Type="http://schemas.openxmlformats.org/officeDocument/2006/relationships/hyperlink" Target="https://www.esv.org/Exodus+16/" TargetMode="External"/><Relationship Id="rId41" Type="http://schemas.openxmlformats.org/officeDocument/2006/relationships/hyperlink" Target="https://www.esv.org/John+6/" TargetMode="External"/><Relationship Id="rId42" Type="http://schemas.openxmlformats.org/officeDocument/2006/relationships/hyperlink" Target="https://www.esv.org/Exodus+17/" TargetMode="External"/><Relationship Id="rId43" Type="http://schemas.openxmlformats.org/officeDocument/2006/relationships/hyperlink" Target="https://www.esv.org/1+Corinthians+10/" TargetMode="External"/><Relationship Id="rId44" Type="http://schemas.openxmlformats.org/officeDocument/2006/relationships/hyperlink" Target="https://www.esv.org/Exodus+25/" TargetMode="External"/><Relationship Id="rId45" Type="http://schemas.openxmlformats.org/officeDocument/2006/relationships/hyperlink" Target="https://www.esv.org/John+1/" TargetMode="External"/><Relationship Id="rId46" Type="http://schemas.openxmlformats.org/officeDocument/2006/relationships/hyperlink" Target="https://www.esv.org/Exodus+28/" TargetMode="External"/><Relationship Id="rId47" Type="http://schemas.openxmlformats.org/officeDocument/2006/relationships/hyperlink" Target="https://www.esv.org/Hebrews+4/" TargetMode="External"/><Relationship Id="rId48" Type="http://schemas.openxmlformats.org/officeDocument/2006/relationships/hyperlink" Target="https://www.esv.org/Leviticus+16/" TargetMode="External"/><Relationship Id="rId49" Type="http://schemas.openxmlformats.org/officeDocument/2006/relationships/hyperlink" Target="https://www.esv.org/Hebrews+9/" TargetMode="External"/><Relationship Id="rId50" Type="http://schemas.openxmlformats.org/officeDocument/2006/relationships/hyperlink" Target="https://www.esv.org/Numbers+21/" TargetMode="External"/><Relationship Id="rId51" Type="http://schemas.openxmlformats.org/officeDocument/2006/relationships/hyperlink" Target="https://www.esv.org/John+3/" TargetMode="External"/><Relationship Id="rId52" Type="http://schemas.openxmlformats.org/officeDocument/2006/relationships/hyperlink" Target="https://www.esv.org/Deuteronomy+18/" TargetMode="External"/><Relationship Id="rId53" Type="http://schemas.openxmlformats.org/officeDocument/2006/relationships/hyperlink" Target="https://www.esv.org/Acts+3/" TargetMode="External"/><Relationship Id="rId54" Type="http://schemas.openxmlformats.org/officeDocument/2006/relationships/hyperlink" Target="https://www.esv.org/Deuteronomy+21/" TargetMode="External"/><Relationship Id="rId55" Type="http://schemas.openxmlformats.org/officeDocument/2006/relationships/hyperlink" Target="https://www.esv.org/Galatians+3/" TargetMode="External"/><Relationship Id="rId56" Type="http://schemas.openxmlformats.org/officeDocument/2006/relationships/hyperlink" Target="https://www.esv.org/Joshua+21/" TargetMode="External"/><Relationship Id="rId57" Type="http://schemas.openxmlformats.org/officeDocument/2006/relationships/hyperlink" Target="https://www.esv.org/Hebrews+3/" TargetMode="External"/><Relationship Id="rId58" Type="http://schemas.openxmlformats.org/officeDocument/2006/relationships/hyperlink" Target="https://www.esv.org/2+Samuel+7/" TargetMode="External"/><Relationship Id="rId59" Type="http://schemas.openxmlformats.org/officeDocument/2006/relationships/hyperlink" Target="https://www.esv.org/Luke+1/" TargetMode="External"/><Relationship Id="rId60" Type="http://schemas.openxmlformats.org/officeDocument/2006/relationships/hyperlink" Target="https://www.thetorah.com/article/psalm-2-is-the-messiah-the-son-of-god" TargetMode="External"/><Relationship Id="rId61" Type="http://schemas.openxmlformats.org/officeDocument/2006/relationships/hyperlink" Target="https://www.esv.org/1+Kings+3/" TargetMode="External"/><Relationship Id="rId62" Type="http://schemas.openxmlformats.org/officeDocument/2006/relationships/hyperlink" Target="https://www.esv.org/Matthew+12/" TargetMode="External"/><Relationship Id="rId63" Type="http://schemas.openxmlformats.org/officeDocument/2006/relationships/hyperlink" Target="https://www.esv.org/Psalm+2/" TargetMode="External"/><Relationship Id="rId64" Type="http://schemas.openxmlformats.org/officeDocument/2006/relationships/hyperlink" Target="https://www.esv.org/Acts+4/" TargetMode="External"/><Relationship Id="rId65" Type="http://schemas.openxmlformats.org/officeDocument/2006/relationships/hyperlink" Target="https://www.thetorah.com/article/psalm-2-is-the-messiah-the-son-of-god" TargetMode="External"/><Relationship Id="rId66" Type="http://schemas.openxmlformats.org/officeDocument/2006/relationships/hyperlink" Target="https://www.esv.org/Psalm+8/" TargetMode="External"/><Relationship Id="rId67" Type="http://schemas.openxmlformats.org/officeDocument/2006/relationships/hyperlink" Target="https://www.esv.org/Hebrews+2/" TargetMode="External"/><Relationship Id="rId68" Type="http://schemas.openxmlformats.org/officeDocument/2006/relationships/hyperlink" Target="https://www.esv.org/Psalm+16/" TargetMode="External"/><Relationship Id="rId69" Type="http://schemas.openxmlformats.org/officeDocument/2006/relationships/hyperlink" Target="https://www.esv.org/Acts+2/" TargetMode="External"/><Relationship Id="rId70" Type="http://schemas.openxmlformats.org/officeDocument/2006/relationships/hyperlink" Target="https://www.esv.org/Psalm+22/" TargetMode="External"/><Relationship Id="rId71" Type="http://schemas.openxmlformats.org/officeDocument/2006/relationships/hyperlink" Target="https://www.esv.org/Mark+15/" TargetMode="External"/><Relationship Id="rId72" Type="http://schemas.openxmlformats.org/officeDocument/2006/relationships/hyperlink" Target="https://classic.net.bible.org/verse.php?book=Psa&amp;chapter=22&amp;verse=16" TargetMode="External"/><Relationship Id="rId73" Type="http://schemas.openxmlformats.org/officeDocument/2006/relationships/hyperlink" Target="https://www.esv.org/Psalm+40/" TargetMode="External"/><Relationship Id="rId74" Type="http://schemas.openxmlformats.org/officeDocument/2006/relationships/hyperlink" Target="https://www.esv.org/Hebrews+10/" TargetMode="External"/><Relationship Id="rId75" Type="http://schemas.openxmlformats.org/officeDocument/2006/relationships/hyperlink" Target="https://journal.rts.edu/article/reading-psalm-40-messianically/" TargetMode="External"/><Relationship Id="rId76" Type="http://schemas.openxmlformats.org/officeDocument/2006/relationships/hyperlink" Target="https://classic.net.bible.org/verse.php?book=Psa&amp;chapter=40&amp;verse=6" TargetMode="External"/><Relationship Id="rId77" Type="http://schemas.openxmlformats.org/officeDocument/2006/relationships/hyperlink" Target="https://www.esv.org/Psalm+69/" TargetMode="External"/><Relationship Id="rId78" Type="http://schemas.openxmlformats.org/officeDocument/2006/relationships/hyperlink" Target="https://www.esv.org/John+2/" TargetMode="External"/><Relationship Id="rId79" Type="http://schemas.openxmlformats.org/officeDocument/2006/relationships/hyperlink" Target="https://www.esv.org/Psalm+110/" TargetMode="External"/><Relationship Id="rId80" Type="http://schemas.openxmlformats.org/officeDocument/2006/relationships/hyperlink" Target="https://www.esv.org/Mark+12/" TargetMode="External"/><Relationship Id="rId81" Type="http://schemas.openxmlformats.org/officeDocument/2006/relationships/hyperlink" Target="https://www.esv.org/Psalm+118/" TargetMode="External"/><Relationship Id="rId82" Type="http://schemas.openxmlformats.org/officeDocument/2006/relationships/hyperlink" Target="https://www.esv.org/Mark+12/" TargetMode="External"/><Relationship Id="rId83" Type="http://schemas.openxmlformats.org/officeDocument/2006/relationships/hyperlink" Target="https://www.esv.org/Jonah+1/" TargetMode="External"/><Relationship Id="rId84" Type="http://schemas.openxmlformats.org/officeDocument/2006/relationships/hyperlink" Target="https://www.esv.org/Matthew+12/" TargetMode="External"/><Relationship Id="rId85" Type="http://schemas.openxmlformats.org/officeDocument/2006/relationships/hyperlink" Target="https://www.esv.org/Amos+9/" TargetMode="External"/><Relationship Id="rId86" Type="http://schemas.openxmlformats.org/officeDocument/2006/relationships/hyperlink" Target="https://www.esv.org/Acts+15/" TargetMode="External"/><Relationship Id="rId87" Type="http://schemas.openxmlformats.org/officeDocument/2006/relationships/hyperlink" Target="https://www.esv.org/Isaiah+6/" TargetMode="External"/><Relationship Id="rId88" Type="http://schemas.openxmlformats.org/officeDocument/2006/relationships/hyperlink" Target="https://www.esv.org/John+12/" TargetMode="External"/><Relationship Id="rId89" Type="http://schemas.openxmlformats.org/officeDocument/2006/relationships/hyperlink" Target="https://www.esv.org/Isaiah+7/" TargetMode="External"/><Relationship Id="rId90" Type="http://schemas.openxmlformats.org/officeDocument/2006/relationships/hyperlink" Target="https://www.esv.org/Matthew+1/" TargetMode="External"/><Relationship Id="rId91" Type="http://schemas.openxmlformats.org/officeDocument/2006/relationships/hyperlink" Target="https://classic.net.bible.org/verse.php?book=Isa&amp;chapter=7&amp;verse=14" TargetMode="External"/><Relationship Id="rId92" Type="http://schemas.openxmlformats.org/officeDocument/2006/relationships/hyperlink" Target="https://www.esv.org/Isaiah+8/" TargetMode="External"/><Relationship Id="rId93" Type="http://schemas.openxmlformats.org/officeDocument/2006/relationships/hyperlink" Target="https://www.esv.org/Romans+9/" TargetMode="External"/><Relationship Id="rId94" Type="http://schemas.openxmlformats.org/officeDocument/2006/relationships/hyperlink" Target="https://www.esv.org/Isaiah+9/" TargetMode="External"/><Relationship Id="rId95" Type="http://schemas.openxmlformats.org/officeDocument/2006/relationships/hyperlink" Target="https://www.esv.org/Matthew+4/" TargetMode="External"/><Relationship Id="rId96" Type="http://schemas.openxmlformats.org/officeDocument/2006/relationships/hyperlink" Target="https://www.esv.org/Isaiah+11/" TargetMode="External"/><Relationship Id="rId97" Type="http://schemas.openxmlformats.org/officeDocument/2006/relationships/hyperlink" Target="https://www.esv.org/Romans+15/" TargetMode="External"/><Relationship Id="rId98" Type="http://schemas.openxmlformats.org/officeDocument/2006/relationships/hyperlink" Target="https://www.esv.org/Micah+5/" TargetMode="External"/><Relationship Id="rId99" Type="http://schemas.openxmlformats.org/officeDocument/2006/relationships/hyperlink" Target="https://www.esv.org/Matthew+2/" TargetMode="External"/><Relationship Id="rId100" Type="http://schemas.openxmlformats.org/officeDocument/2006/relationships/hyperlink" Target="https://www.esv.org/Isaiah+40/" TargetMode="External"/><Relationship Id="rId101" Type="http://schemas.openxmlformats.org/officeDocument/2006/relationships/hyperlink" Target="https://www.esv.org/Mark+1/" TargetMode="External"/><Relationship Id="rId102" Type="http://schemas.openxmlformats.org/officeDocument/2006/relationships/hyperlink" Target="https://www.esv.org/Isaiah+42/" TargetMode="External"/><Relationship Id="rId103" Type="http://schemas.openxmlformats.org/officeDocument/2006/relationships/hyperlink" Target="https://www.esv.org/Matthew+12/" TargetMode="External"/><Relationship Id="rId104" Type="http://schemas.openxmlformats.org/officeDocument/2006/relationships/hyperlink" Target="https://classic.net.bible.org/verse.php?book=Isa&amp;chapter=53&amp;verse=10" TargetMode="External"/><Relationship Id="rId105" Type="http://schemas.openxmlformats.org/officeDocument/2006/relationships/hyperlink" Target="https://www.thetorah.com/article/the-skin-of-the-metzora-and-the-heart-of-the-messiah" TargetMode="External"/><Relationship Id="rId106" Type="http://schemas.openxmlformats.org/officeDocument/2006/relationships/hyperlink" Target="https://www.esv.org/Isaiah+61/" TargetMode="External"/><Relationship Id="rId107" Type="http://schemas.openxmlformats.org/officeDocument/2006/relationships/hyperlink" Target="https://www.esv.org/Luke+4/" TargetMode="External"/><Relationship Id="rId108" Type="http://schemas.openxmlformats.org/officeDocument/2006/relationships/hyperlink" Target="https://www.esv.org/Jeremiah+31/" TargetMode="External"/><Relationship Id="rId109" Type="http://schemas.openxmlformats.org/officeDocument/2006/relationships/hyperlink" Target="https://www.esv.org/Luke+22/" TargetMode="External"/><Relationship Id="rId110" Type="http://schemas.openxmlformats.org/officeDocument/2006/relationships/hyperlink" Target="https://www.esv.org/Jeremiah+31/" TargetMode="External"/><Relationship Id="rId111" Type="http://schemas.openxmlformats.org/officeDocument/2006/relationships/hyperlink" Target="https://www.esv.org/Matthew+2/" TargetMode="External"/><Relationship Id="rId112" Type="http://schemas.openxmlformats.org/officeDocument/2006/relationships/hyperlink" Target="https://www.esv.org/Ezekiel+34/" TargetMode="External"/><Relationship Id="rId113" Type="http://schemas.openxmlformats.org/officeDocument/2006/relationships/hyperlink" Target="https://www.esv.org/John+10/" TargetMode="External"/><Relationship Id="rId114" Type="http://schemas.openxmlformats.org/officeDocument/2006/relationships/hyperlink" Target="https://classic.net.bible.org/verse.php?book=Joh&amp;chapter=10&amp;verse=11" TargetMode="External"/><Relationship Id="rId115" Type="http://schemas.openxmlformats.org/officeDocument/2006/relationships/hyperlink" Target="https://www.esv.org/Daniel+7/" TargetMode="External"/><Relationship Id="rId116" Type="http://schemas.openxmlformats.org/officeDocument/2006/relationships/hyperlink" Target="https://www.esv.org/Mark+14/" TargetMode="External"/><Relationship Id="rId117" Type="http://schemas.openxmlformats.org/officeDocument/2006/relationships/hyperlink" Target="https://classic.net.bible.org/verse.php?book=Dan&amp;chapter=7&amp;verse=13" TargetMode="External"/><Relationship Id="rId118" Type="http://schemas.openxmlformats.org/officeDocument/2006/relationships/hyperlink" Target="https://www.esv.org/Daniel+9/" TargetMode="External"/><Relationship Id="rId119" Type="http://schemas.openxmlformats.org/officeDocument/2006/relationships/hyperlink" Target="https://www.esv.org/Matthew+24/" TargetMode="External"/><Relationship Id="rId120" Type="http://schemas.openxmlformats.org/officeDocument/2006/relationships/hyperlink" Target="https://classic.net.bible.org/verse.php?book=Dan&amp;chapter=9&amp;verse=26" TargetMode="External"/><Relationship Id="rId121" Type="http://schemas.openxmlformats.org/officeDocument/2006/relationships/hyperlink" Target="https://bible.usccb.org/bible/daniel/9" TargetMode="External"/><Relationship Id="rId122" Type="http://schemas.openxmlformats.org/officeDocument/2006/relationships/hyperlink" Target="Daniel_9_Critical_Audit.docx" TargetMode="External"/><Relationship Id="rId123" Type="http://schemas.openxmlformats.org/officeDocument/2006/relationships/hyperlink" Target="https://www.esv.org/Zechariah+9/" TargetMode="External"/><Relationship Id="rId124" Type="http://schemas.openxmlformats.org/officeDocument/2006/relationships/hyperlink" Target="https://www.esv.org/Matthew+21/" TargetMode="External"/><Relationship Id="rId125" Type="http://schemas.openxmlformats.org/officeDocument/2006/relationships/hyperlink" Target="https://www.esv.org/Zechariah+11/" TargetMode="External"/><Relationship Id="rId126" Type="http://schemas.openxmlformats.org/officeDocument/2006/relationships/hyperlink" Target="https://www.esv.org/Matthew+27/" TargetMode="External"/><Relationship Id="rId127" Type="http://schemas.openxmlformats.org/officeDocument/2006/relationships/hyperlink" Target="https://www.esv.org/Zechariah+12/" TargetMode="External"/><Relationship Id="rId128" Type="http://schemas.openxmlformats.org/officeDocument/2006/relationships/hyperlink" Target="https://www.esv.org/John+19/" TargetMode="External"/><Relationship Id="rId129" Type="http://schemas.openxmlformats.org/officeDocument/2006/relationships/hyperlink" Target="https://classic.net.bible.org/verse.php?book=Zec&amp;chapter=12&amp;verse=10" TargetMode="External"/><Relationship Id="rId130" Type="http://schemas.openxmlformats.org/officeDocument/2006/relationships/hyperlink" Target="https://www.esv.org/Zechariah+13/" TargetMode="External"/><Relationship Id="rId131" Type="http://schemas.openxmlformats.org/officeDocument/2006/relationships/hyperlink" Target="https://www.esv.org/Mark+14/" TargetMode="External"/><Relationship Id="rId132" Type="http://schemas.openxmlformats.org/officeDocument/2006/relationships/hyperlink" Target="https://www.esv.org/Malachi+3/" TargetMode="External"/><Relationship Id="rId133" Type="http://schemas.openxmlformats.org/officeDocument/2006/relationships/hyperlink" Target="https://www.esv.org/Mark+1/" TargetMode="External"/><Relationship Id="rId134" Type="http://schemas.openxmlformats.org/officeDocument/2006/relationships/hyperlink" Target="https://www.esv.org/Genesis+2/" TargetMode="External"/><Relationship Id="rId135" Type="http://schemas.openxmlformats.org/officeDocument/2006/relationships/hyperlink" Target="https://www.esv.org/Genesis+3/" TargetMode="External"/><Relationship Id="rId136" Type="http://schemas.openxmlformats.org/officeDocument/2006/relationships/hyperlink" Target="https://www.esv.org/Genesis+14/" TargetMode="External"/><Relationship Id="rId137" Type="http://schemas.openxmlformats.org/officeDocument/2006/relationships/hyperlink" Target="https://www.esv.org/Genesis+22/" TargetMode="External"/><Relationship Id="rId138" Type="http://schemas.openxmlformats.org/officeDocument/2006/relationships/hyperlink" Target="https://www.esv.org/Genesis+22/" TargetMode="External"/><Relationship Id="rId139" Type="http://schemas.openxmlformats.org/officeDocument/2006/relationships/hyperlink" Target="https://www.esv.org/Genesis+40/" TargetMode="External"/><Relationship Id="rId140" Type="http://schemas.openxmlformats.org/officeDocument/2006/relationships/hyperlink" Target="https://www.esv.org/Genesis+39/" TargetMode="External"/><Relationship Id="rId141" Type="http://schemas.openxmlformats.org/officeDocument/2006/relationships/hyperlink" Target="https://www.esv.org/Exodus+25/" TargetMode="External"/><Relationship Id="rId142" Type="http://schemas.openxmlformats.org/officeDocument/2006/relationships/hyperlink" Target="https://www.esv.org/Numbers+21/" TargetMode="External"/><Relationship Id="rId143" Type="http://schemas.openxmlformats.org/officeDocument/2006/relationships/hyperlink" Target="https://www.esv.org/Psalm+22/" TargetMode="External"/><Relationship Id="rId144" Type="http://schemas.openxmlformats.org/officeDocument/2006/relationships/hyperlink" Target="https://www.esv.org/Jonah+2/" TargetMode="External"/><Relationship Id="rId145" Type="http://schemas.openxmlformats.org/officeDocument/2006/relationships/hyperlink" Target="https://www.esv.org/Isaiah+41/" TargetMode="External"/><Relationship Id="rId146" Type="http://schemas.openxmlformats.org/officeDocument/2006/relationships/hyperlink" Target="https://www.thetorah.com/article/the-skin-of-the-metzora-and-the-heart-of-the-messiah" TargetMode="External"/><Relationship Id="rId147" Type="http://schemas.openxmlformats.org/officeDocument/2006/relationships/hyperlink" Target="https://www.esv.org/Daniel+9/" TargetMode="External"/><Relationship Id="rId148" Type="http://schemas.openxmlformats.org/officeDocument/2006/relationships/hyperlink" Target="Daniel_9_Critical_Audit.docx" TargetMode="External"/><Relationship Id="rId149" Type="http://schemas.openxmlformats.org/officeDocument/2006/relationships/hyperlink" Target="https://www.esv.org/Matthew+14/" TargetMode="External"/><Relationship Id="rId150" Type="http://schemas.openxmlformats.org/officeDocument/2006/relationships/hyperlink" Target="https://www.esv.org/John+19/" TargetMode="External"/><Relationship Id="rId151" Type="http://schemas.openxmlformats.org/officeDocument/2006/relationships/hyperlink" Target="https://www.esv.org/Matthew+27/" TargetMode="External"/><Relationship Id="rId152" Type="http://schemas.openxmlformats.org/officeDocument/2006/relationships/hyperlink" Target="https://www.esv.org/Luke+24/" TargetMode="External"/><Relationship Id="rId153" Type="http://schemas.openxmlformats.org/officeDocument/2006/relationships/hyperlink" Target="https://www.esv.org/Hosea+6/" TargetMode="External"/><Relationship Id="rId154" Type="http://schemas.openxmlformats.org/officeDocument/2006/relationships/hyperlink" Target="https://classic.net.bible.org/verse.php?book=Gal&amp;chapter=3&amp;verse=16" TargetMode="External"/><Relationship Id="rId155" Type="http://schemas.openxmlformats.org/officeDocument/2006/relationships/hyperlink" Target="https://classic.net.bible.org/verse.php?book=Gen&amp;chapter=3&amp;verse=15" TargetMode="External"/><Relationship Id="rId156" Type="http://schemas.openxmlformats.org/officeDocument/2006/relationships/hyperlink" Target="https://classic.net.bible.org/verse.php?book=Psa&amp;chapter=22&amp;verse=16" TargetMode="External"/><Relationship Id="rId157" Type="http://schemas.openxmlformats.org/officeDocument/2006/relationships/hyperlink" Target="https://classic.net.bible.org/verse.php?book=Isa&amp;chapter=7&amp;verse=14" TargetMode="External"/><Relationship Id="rId158" Type="http://schemas.openxmlformats.org/officeDocument/2006/relationships/hyperlink" Target="https://classic.net.bible.org/verse.php?book=Dan&amp;chapter=7&amp;verse=13" TargetMode="External"/><Relationship Id="rId159" Type="http://schemas.openxmlformats.org/officeDocument/2006/relationships/hyperlink" Target="https://classic.net.bible.org/verse.php?book=Heb&amp;chapter=11&amp;verse=19" TargetMode="External"/><Relationship Id="rId160" Type="http://schemas.openxmlformats.org/officeDocument/2006/relationships/hyperlink" Target="https://etsjets.org/wp-content/uploads/2012/10/files_JETS-PDFs_55_55-3_JETS_55-3_489-508_Kuruvilla.pdf" TargetMode="External"/><Relationship Id="rId161" Type="http://schemas.openxmlformats.org/officeDocument/2006/relationships/hyperlink" Target="https://www.marquette.edu/maqom/11QMelchizedek.pdf" TargetMode="External"/><Relationship Id="rId162" Type="http://schemas.openxmlformats.org/officeDocument/2006/relationships/hyperlink" Target="https://journal.rts.edu/article/reading-psalm-40-messianically/" TargetMode="External"/><Relationship Id="rId163" Type="http://schemas.openxmlformats.org/officeDocument/2006/relationships/hyperlink" Target="https://classic.net.bible.org/verse.php?book=Psa&amp;chapter=40&amp;verse=6" TargetMode="External"/><Relationship Id="rId164" Type="http://schemas.openxmlformats.org/officeDocument/2006/relationships/hyperlink" Target="https://classic.net.bible.org/verse.php?book=Zec&amp;chapter=12&amp;verse=10" TargetMode="External"/><Relationship Id="rId165" Type="http://schemas.openxmlformats.org/officeDocument/2006/relationships/hyperlink" Target="https://classic.net.bible.org/verse.php?book=Dan&amp;chapter=9&amp;verse=26" TargetMode="External"/><Relationship Id="rId166" Type="http://schemas.openxmlformats.org/officeDocument/2006/relationships/hyperlink" Target="https://bible.usccb.org/bible/daniel/9" TargetMode="External"/><Relationship Id="rId167" Type="http://schemas.openxmlformats.org/officeDocument/2006/relationships/hyperlink" Target="Daniel_9_Critical_Audit.docx" TargetMode="External"/><Relationship Id="rId168" Type="http://schemas.openxmlformats.org/officeDocument/2006/relationships/hyperlink" Target="https://www.thetorah.com/article/psalm-2-is-the-messiah-the-son-of-god" TargetMode="External"/><Relationship Id="rId169" Type="http://schemas.openxmlformats.org/officeDocument/2006/relationships/hyperlink" Target="https://www.marquette.edu/maqom/11QMelchizedek.pdf" TargetMode="External"/><Relationship Id="rId170" Type="http://schemas.openxmlformats.org/officeDocument/2006/relationships/hyperlink" Target="https://www.thetorah.com/article/the-skin-of-the-metzora-and-the-heart-of-the-messia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